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EA7" w:rsidRPr="00FF5787" w:rsidRDefault="00000000" w:rsidP="001A5EA7">
      <w:pPr>
        <w:spacing w:before="240" w:after="240"/>
      </w:pPr>
      <w:r>
        <w:pict>
          <v:rect id="_x0000_i1025" style="width:0;height:1.5pt" o:hralign="center" o:hrstd="t" o:hr="t" fillcolor="gray" stroked="f"/>
        </w:pict>
      </w:r>
    </w:p>
    <w:p w:rsidR="001A5EA7" w:rsidRPr="00FF5787" w:rsidRDefault="001A5EA7" w:rsidP="001A5EA7">
      <w:pPr>
        <w:pStyle w:val="IEEETitle"/>
        <w:spacing w:before="240" w:after="240"/>
        <w:rPr>
          <w:sz w:val="24"/>
        </w:rPr>
      </w:pPr>
      <w:r w:rsidRPr="00FF5787">
        <w:rPr>
          <w:sz w:val="40"/>
          <w:szCs w:val="40"/>
        </w:rPr>
        <w:t>Paper Title</w:t>
      </w:r>
      <w:r w:rsidR="00000000">
        <w:rPr>
          <w:sz w:val="24"/>
        </w:rPr>
        <w:pict>
          <v:rect id="_x0000_i1026" style="width:0;height:1.5pt" o:hralign="center" o:hrstd="t" o:hr="t" fillcolor="gray" stroked="f"/>
        </w:pict>
      </w:r>
    </w:p>
    <w:p w:rsidR="000F0FF7" w:rsidRPr="00FF5787" w:rsidRDefault="000F0FF7" w:rsidP="000F0FF7">
      <w:pPr>
        <w:pStyle w:val="IEEEAuthorName"/>
        <w:spacing w:before="0" w:after="0"/>
        <w:rPr>
          <w:b/>
          <w:sz w:val="24"/>
        </w:rPr>
      </w:pPr>
      <w:r w:rsidRPr="00FF5787">
        <w:rPr>
          <w:b/>
          <w:sz w:val="24"/>
        </w:rPr>
        <w:t>First Author</w:t>
      </w:r>
      <w:r w:rsidRPr="00FF5787">
        <w:rPr>
          <w:b/>
          <w:sz w:val="24"/>
          <w:vertAlign w:val="superscript"/>
        </w:rPr>
        <w:t>1</w:t>
      </w:r>
      <w:r w:rsidRPr="00FF5787">
        <w:rPr>
          <w:b/>
          <w:sz w:val="24"/>
        </w:rPr>
        <w:t>, Second Author</w:t>
      </w:r>
      <w:r w:rsidRPr="00FF5787">
        <w:rPr>
          <w:b/>
          <w:sz w:val="24"/>
          <w:vertAlign w:val="superscript"/>
        </w:rPr>
        <w:t>2</w:t>
      </w:r>
      <w:r w:rsidRPr="00FF5787">
        <w:rPr>
          <w:b/>
          <w:sz w:val="24"/>
        </w:rPr>
        <w:t>, Third Author</w:t>
      </w:r>
      <w:r w:rsidRPr="00FF5787">
        <w:rPr>
          <w:b/>
          <w:sz w:val="24"/>
          <w:vertAlign w:val="superscript"/>
        </w:rPr>
        <w:t>3*</w:t>
      </w:r>
    </w:p>
    <w:p w:rsidR="000F0FF7" w:rsidRPr="00FF5787" w:rsidRDefault="000F0FF7" w:rsidP="000F0FF7">
      <w:pPr>
        <w:pStyle w:val="IEEEAuthorAffiliation"/>
        <w:spacing w:after="0"/>
        <w:rPr>
          <w:sz w:val="24"/>
          <w:vertAlign w:val="superscript"/>
        </w:rPr>
      </w:pPr>
    </w:p>
    <w:p w:rsidR="000F0FF7" w:rsidRPr="00FF5787" w:rsidRDefault="000F0FF7" w:rsidP="000F0FF7">
      <w:pPr>
        <w:pStyle w:val="IEEEAuthorAffiliation"/>
        <w:spacing w:after="0"/>
        <w:rPr>
          <w:sz w:val="24"/>
        </w:rPr>
      </w:pPr>
      <w:r w:rsidRPr="00FF5787">
        <w:rPr>
          <w:sz w:val="24"/>
          <w:vertAlign w:val="superscript"/>
        </w:rPr>
        <w:t>#</w:t>
      </w:r>
      <w:r w:rsidRPr="00FF5787">
        <w:rPr>
          <w:sz w:val="24"/>
        </w:rPr>
        <w:t>First-Third Department, First-Third University</w:t>
      </w:r>
    </w:p>
    <w:p w:rsidR="000F0FF7" w:rsidRPr="00FF5787" w:rsidRDefault="000F0FF7" w:rsidP="000F0FF7">
      <w:pPr>
        <w:pStyle w:val="IEEEAuthorEmail"/>
        <w:spacing w:after="0"/>
        <w:rPr>
          <w:rFonts w:ascii="Times New Roman" w:hAnsi="Times New Roman"/>
          <w:i/>
          <w:sz w:val="24"/>
        </w:rPr>
      </w:pPr>
    </w:p>
    <w:p w:rsidR="000F0FF7" w:rsidRPr="00FF5787" w:rsidRDefault="000F0FF7" w:rsidP="000F0FF7">
      <w:pPr>
        <w:pStyle w:val="IEEEAuthorEmail"/>
        <w:spacing w:after="0"/>
        <w:rPr>
          <w:rFonts w:ascii="Times New Roman" w:hAnsi="Times New Roman"/>
          <w:i/>
          <w:sz w:val="24"/>
        </w:rPr>
      </w:pPr>
      <w:r w:rsidRPr="00FF5787">
        <w:rPr>
          <w:rFonts w:ascii="Times New Roman" w:hAnsi="Times New Roman"/>
          <w:i/>
          <w:sz w:val="24"/>
        </w:rPr>
        <w:t xml:space="preserve">Email: </w:t>
      </w:r>
      <w:hyperlink r:id="rId7" w:history="1">
        <w:r w:rsidRPr="00FF5787">
          <w:rPr>
            <w:rStyle w:val="Hyperlink"/>
            <w:rFonts w:ascii="Times New Roman" w:hAnsi="Times New Roman"/>
            <w:i/>
            <w:color w:val="auto"/>
            <w:sz w:val="24"/>
            <w:u w:val="none"/>
            <w:vertAlign w:val="superscript"/>
          </w:rPr>
          <w:t>1</w:t>
        </w:r>
        <w:r w:rsidRPr="00FF5787">
          <w:rPr>
            <w:rStyle w:val="Hyperlink"/>
            <w:rFonts w:ascii="Times New Roman" w:hAnsi="Times New Roman"/>
            <w:i/>
            <w:color w:val="auto"/>
            <w:sz w:val="24"/>
            <w:u w:val="none"/>
          </w:rPr>
          <w:t>first.author@first-third.edu</w:t>
        </w:r>
      </w:hyperlink>
      <w:r w:rsidRPr="00FF5787">
        <w:rPr>
          <w:rFonts w:ascii="Times New Roman" w:hAnsi="Times New Roman"/>
          <w:i/>
          <w:sz w:val="24"/>
        </w:rPr>
        <w:t xml:space="preserve">, </w:t>
      </w:r>
      <w:hyperlink r:id="rId8" w:history="1">
        <w:r w:rsidRPr="00FF5787">
          <w:rPr>
            <w:rStyle w:val="Hyperlink"/>
            <w:rFonts w:ascii="Times New Roman" w:hAnsi="Times New Roman"/>
            <w:i/>
            <w:color w:val="auto"/>
            <w:sz w:val="24"/>
            <w:u w:val="none"/>
            <w:vertAlign w:val="superscript"/>
          </w:rPr>
          <w:t>2</w:t>
        </w:r>
        <w:r w:rsidRPr="00FF5787">
          <w:rPr>
            <w:rStyle w:val="Hyperlink"/>
            <w:rFonts w:ascii="Times New Roman" w:hAnsi="Times New Roman"/>
            <w:i/>
            <w:color w:val="auto"/>
            <w:sz w:val="24"/>
            <w:u w:val="none"/>
          </w:rPr>
          <w:t>third.author@first-third.edu</w:t>
        </w:r>
      </w:hyperlink>
    </w:p>
    <w:p w:rsidR="000F0FF7" w:rsidRPr="00FF5787" w:rsidRDefault="000F0FF7" w:rsidP="000F0FF7">
      <w:pPr>
        <w:pStyle w:val="IEEEAuthorEmail"/>
        <w:spacing w:after="0"/>
        <w:rPr>
          <w:rFonts w:ascii="Times New Roman" w:hAnsi="Times New Roman"/>
          <w:i/>
          <w:sz w:val="24"/>
        </w:rPr>
      </w:pPr>
      <w:r w:rsidRPr="00FF5787">
        <w:rPr>
          <w:rFonts w:ascii="Times New Roman" w:hAnsi="Times New Roman"/>
          <w:i/>
          <w:sz w:val="24"/>
        </w:rPr>
        <w:t xml:space="preserve">Corresponding Email: </w:t>
      </w:r>
      <w:r w:rsidRPr="00FF5787">
        <w:rPr>
          <w:rFonts w:ascii="Times New Roman" w:hAnsi="Times New Roman"/>
          <w:i/>
          <w:sz w:val="24"/>
          <w:vertAlign w:val="superscript"/>
        </w:rPr>
        <w:t>3</w:t>
      </w:r>
      <w:r w:rsidRPr="00FF5787">
        <w:rPr>
          <w:rFonts w:ascii="Times New Roman" w:hAnsi="Times New Roman"/>
          <w:i/>
          <w:sz w:val="24"/>
        </w:rPr>
        <w:t>second.author@second.com</w:t>
      </w:r>
    </w:p>
    <w:p w:rsidR="000F0FF7" w:rsidRDefault="000F0FF7" w:rsidP="000F0FF7">
      <w:pPr>
        <w:jc w:val="both"/>
      </w:pPr>
    </w:p>
    <w:p w:rsidR="00F444A7" w:rsidRPr="00E00A3A" w:rsidRDefault="00F444A7" w:rsidP="00F444A7">
      <w:pPr>
        <w:pStyle w:val="IEEEAbtract"/>
        <w:rPr>
          <w:i/>
          <w:sz w:val="24"/>
        </w:rPr>
      </w:pPr>
      <w:r w:rsidRPr="00E00A3A">
        <w:rPr>
          <w:rStyle w:val="IEEEAbstractHeadingChar"/>
          <w:b/>
          <w:sz w:val="24"/>
        </w:rPr>
        <w:t>Abstract</w:t>
      </w:r>
      <w:r w:rsidRPr="00E00A3A">
        <w:rPr>
          <w:i/>
          <w:sz w:val="24"/>
        </w:rPr>
        <w:t xml:space="preserve">: This document gives formatting instructions for authors preparing papers for publication in </w:t>
      </w:r>
      <w:r w:rsidRPr="0047170F">
        <w:rPr>
          <w:i/>
          <w:sz w:val="24"/>
        </w:rPr>
        <w:t>the</w:t>
      </w:r>
      <w:r w:rsidR="0047170F" w:rsidRPr="0047170F">
        <w:rPr>
          <w:i/>
          <w:sz w:val="24"/>
        </w:rPr>
        <w:t xml:space="preserve"> </w:t>
      </w:r>
      <w:r w:rsidR="008459DD">
        <w:rPr>
          <w:i/>
          <w:sz w:val="24"/>
          <w:shd w:val="clear" w:color="auto" w:fill="FFFFFF"/>
        </w:rPr>
        <w:t>GBS IMPACT</w:t>
      </w:r>
      <w:r w:rsidR="00D82789" w:rsidRPr="00D82789">
        <w:rPr>
          <w:i/>
          <w:sz w:val="24"/>
          <w:shd w:val="clear" w:color="auto" w:fill="FFFFFF"/>
        </w:rPr>
        <w:t xml:space="preserve"> </w:t>
      </w:r>
      <w:r w:rsidRPr="0078546F">
        <w:rPr>
          <w:i/>
          <w:sz w:val="24"/>
        </w:rPr>
        <w:t>Journal</w:t>
      </w:r>
      <w:r w:rsidRPr="00E00A3A">
        <w:rPr>
          <w:i/>
          <w:sz w:val="24"/>
        </w:rPr>
        <w:t>. 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r w:rsidR="008459DD">
        <w:rPr>
          <w:i/>
          <w:sz w:val="24"/>
        </w:rPr>
        <w:t xml:space="preserve">  ( word range 150-200)</w:t>
      </w:r>
      <w:r w:rsidRPr="00E00A3A">
        <w:rPr>
          <w:i/>
          <w:sz w:val="24"/>
        </w:rPr>
        <w:t>.</w:t>
      </w:r>
    </w:p>
    <w:p w:rsidR="00F444A7" w:rsidRPr="006D7DCB" w:rsidRDefault="00F444A7" w:rsidP="00F444A7">
      <w:pPr>
        <w:rPr>
          <w:lang w:val="en-GB" w:eastAsia="en-GB"/>
        </w:rPr>
      </w:pPr>
    </w:p>
    <w:p w:rsidR="00F444A7" w:rsidRDefault="00F444A7" w:rsidP="00F444A7">
      <w:pPr>
        <w:jc w:val="both"/>
        <w:rPr>
          <w:b/>
          <w:i/>
          <w:lang w:val="en-GB" w:eastAsia="en-GB"/>
        </w:rPr>
      </w:pPr>
      <w:r w:rsidRPr="006D7DCB">
        <w:rPr>
          <w:rStyle w:val="IEEEAbstractHeadingChar"/>
          <w:sz w:val="24"/>
        </w:rPr>
        <w:t>Keywords:</w:t>
      </w:r>
      <w:r w:rsidR="00987B0A">
        <w:rPr>
          <w:rStyle w:val="IEEEAbstractHeadingChar"/>
          <w:sz w:val="24"/>
        </w:rPr>
        <w:t xml:space="preserve"> </w:t>
      </w:r>
      <w:r w:rsidRPr="006D7DCB">
        <w:rPr>
          <w:b/>
          <w:i/>
          <w:lang w:val="en-GB" w:eastAsia="en-GB"/>
        </w:rPr>
        <w:t>Mention 4-5 keywords</w:t>
      </w:r>
    </w:p>
    <w:p w:rsidR="008459DD" w:rsidRPr="006D7DCB" w:rsidRDefault="008459DD" w:rsidP="00F444A7">
      <w:pPr>
        <w:jc w:val="both"/>
        <w:rPr>
          <w:b/>
          <w:i/>
          <w:lang w:val="en-GB" w:eastAsia="en-GB"/>
        </w:rPr>
      </w:pPr>
    </w:p>
    <w:p w:rsidR="00F444A7" w:rsidRDefault="00F444A7" w:rsidP="00975BD5">
      <w:pPr>
        <w:pStyle w:val="Caption"/>
        <w:numPr>
          <w:ilvl w:val="0"/>
          <w:numId w:val="7"/>
        </w:numPr>
        <w:spacing w:before="0" w:after="0"/>
        <w:ind w:left="360"/>
        <w:rPr>
          <w:sz w:val="24"/>
          <w:szCs w:val="24"/>
        </w:rPr>
      </w:pPr>
      <w:r w:rsidRPr="006D7DCB">
        <w:rPr>
          <w:sz w:val="24"/>
          <w:szCs w:val="24"/>
        </w:rPr>
        <w:t>INTRODUCTION</w:t>
      </w:r>
    </w:p>
    <w:p w:rsidR="00975BD5" w:rsidRPr="00975BD5" w:rsidRDefault="00975BD5" w:rsidP="00975BD5"/>
    <w:p w:rsidR="00F444A7" w:rsidRPr="006D7DCB" w:rsidRDefault="00F444A7" w:rsidP="00975BD5">
      <w:pPr>
        <w:jc w:val="both"/>
      </w:pPr>
      <w:r w:rsidRPr="006D7DCB">
        <w:t xml:space="preserve">This document is a template.  For questions on paper guidelines, please contact us via e-mail. Identify the constructs of a Journal – Essentially a journal consists of five major sections. The number of pages may vary depending upon the topic of research work but generally comprises up to </w:t>
      </w:r>
      <w:r w:rsidR="008459DD">
        <w:t>4000 -</w:t>
      </w:r>
      <w:r w:rsidRPr="006D7DCB">
        <w:t>7</w:t>
      </w:r>
      <w:r w:rsidR="008459DD">
        <w:t>000 words</w:t>
      </w:r>
      <w:r w:rsidRPr="006D7DCB">
        <w:t>. These are:</w:t>
      </w:r>
    </w:p>
    <w:p w:rsidR="00F444A7" w:rsidRPr="006D7DCB" w:rsidRDefault="00F444A7" w:rsidP="00975BD5">
      <w:pPr>
        <w:jc w:val="both"/>
      </w:pPr>
      <w:r w:rsidRPr="006D7DCB">
        <w:t xml:space="preserve">Abstract </w:t>
      </w:r>
    </w:p>
    <w:p w:rsidR="00F444A7" w:rsidRDefault="00F444A7" w:rsidP="00975BD5">
      <w:pPr>
        <w:jc w:val="both"/>
      </w:pPr>
      <w:r w:rsidRPr="006D7DCB">
        <w:t xml:space="preserve">Introduction </w:t>
      </w:r>
    </w:p>
    <w:p w:rsidR="008459DD" w:rsidRDefault="008459DD" w:rsidP="00975BD5">
      <w:pPr>
        <w:jc w:val="both"/>
      </w:pPr>
      <w:r>
        <w:t>Literature review</w:t>
      </w:r>
    </w:p>
    <w:p w:rsidR="008459DD" w:rsidRPr="006D7DCB" w:rsidRDefault="008459DD" w:rsidP="00975BD5">
      <w:pPr>
        <w:jc w:val="both"/>
      </w:pPr>
      <w:r>
        <w:t xml:space="preserve">Conceptual model </w:t>
      </w:r>
    </w:p>
    <w:p w:rsidR="00F444A7" w:rsidRDefault="00F444A7" w:rsidP="00975BD5">
      <w:pPr>
        <w:jc w:val="both"/>
      </w:pPr>
      <w:r w:rsidRPr="006D7DCB">
        <w:t xml:space="preserve">Research </w:t>
      </w:r>
      <w:r w:rsidR="008459DD">
        <w:t xml:space="preserve">methodology </w:t>
      </w:r>
    </w:p>
    <w:p w:rsidR="008459DD" w:rsidRPr="006D7DCB" w:rsidRDefault="008459DD" w:rsidP="00975BD5">
      <w:pPr>
        <w:jc w:val="both"/>
      </w:pPr>
      <w:r>
        <w:t xml:space="preserve">Data and discussions </w:t>
      </w:r>
    </w:p>
    <w:p w:rsidR="008459DD" w:rsidRDefault="008459DD" w:rsidP="00975BD5">
      <w:pPr>
        <w:jc w:val="both"/>
      </w:pPr>
      <w:r>
        <w:t xml:space="preserve">Research implications </w:t>
      </w:r>
    </w:p>
    <w:p w:rsidR="00F444A7" w:rsidRPr="006D7DCB" w:rsidRDefault="00F444A7" w:rsidP="00975BD5">
      <w:pPr>
        <w:jc w:val="both"/>
      </w:pPr>
      <w:r w:rsidRPr="006D7DCB">
        <w:t>Conclusions</w:t>
      </w:r>
    </w:p>
    <w:p w:rsidR="00F444A7" w:rsidRPr="006D7DCB" w:rsidRDefault="00F444A7" w:rsidP="00975BD5">
      <w:pPr>
        <w:pStyle w:val="IEEEParagraph"/>
        <w:rPr>
          <w:sz w:val="24"/>
        </w:rPr>
      </w:pPr>
    </w:p>
    <w:p w:rsidR="00F444A7" w:rsidRDefault="00F444A7" w:rsidP="00975BD5">
      <w:pPr>
        <w:pStyle w:val="Caption"/>
        <w:numPr>
          <w:ilvl w:val="0"/>
          <w:numId w:val="7"/>
        </w:numPr>
        <w:spacing w:before="0" w:after="0"/>
        <w:ind w:left="360"/>
        <w:rPr>
          <w:sz w:val="24"/>
          <w:szCs w:val="24"/>
        </w:rPr>
      </w:pPr>
      <w:r w:rsidRPr="006D7DCB">
        <w:rPr>
          <w:sz w:val="24"/>
          <w:szCs w:val="24"/>
        </w:rPr>
        <w:t>PAGE LAYOUT</w:t>
      </w:r>
    </w:p>
    <w:p w:rsidR="00975BD5" w:rsidRPr="00975BD5" w:rsidRDefault="00975BD5" w:rsidP="00975BD5"/>
    <w:p w:rsidR="00F444A7" w:rsidRPr="006D7DCB" w:rsidRDefault="00F444A7" w:rsidP="00975BD5">
      <w:pPr>
        <w:pStyle w:val="IEEEHeading2"/>
        <w:spacing w:before="0" w:after="0"/>
        <w:rPr>
          <w:sz w:val="24"/>
        </w:rPr>
      </w:pPr>
      <w:r w:rsidRPr="006D7DCB">
        <w:rPr>
          <w:sz w:val="24"/>
        </w:rPr>
        <w:t>Page Layout</w:t>
      </w:r>
    </w:p>
    <w:p w:rsidR="008459DD" w:rsidRDefault="00F444A7" w:rsidP="008459DD">
      <w:pPr>
        <w:pStyle w:val="IEEEParagraph"/>
        <w:rPr>
          <w:sz w:val="24"/>
        </w:rPr>
      </w:pPr>
      <w:r w:rsidRPr="006D7DCB">
        <w:rPr>
          <w:sz w:val="24"/>
        </w:rPr>
        <w:t>Your paper must use a page size corresponding to A4 which is 210mm (8.27") wide and 297mm (11.69") long</w:t>
      </w:r>
      <w:r w:rsidR="008459DD">
        <w:rPr>
          <w:sz w:val="24"/>
        </w:rPr>
        <w:t xml:space="preserve"> without any headers and footers</w:t>
      </w:r>
      <w:r w:rsidRPr="006D7DCB">
        <w:rPr>
          <w:sz w:val="24"/>
        </w:rPr>
        <w:t xml:space="preserve">.  </w:t>
      </w:r>
    </w:p>
    <w:p w:rsidR="008459DD" w:rsidRDefault="008459DD" w:rsidP="008459DD">
      <w:pPr>
        <w:pStyle w:val="IEEEParagraph"/>
        <w:rPr>
          <w:sz w:val="24"/>
        </w:rPr>
      </w:pPr>
    </w:p>
    <w:p w:rsidR="00F444A7" w:rsidRDefault="00F444A7" w:rsidP="008459DD">
      <w:pPr>
        <w:pStyle w:val="IEEEParagraph"/>
        <w:rPr>
          <w:sz w:val="24"/>
        </w:rPr>
      </w:pPr>
      <w:r w:rsidRPr="006D7DCB">
        <w:rPr>
          <w:sz w:val="24"/>
        </w:rPr>
        <w:t>PAGE STYLE</w:t>
      </w:r>
    </w:p>
    <w:p w:rsidR="00975BD5" w:rsidRPr="00975BD5" w:rsidRDefault="00975BD5" w:rsidP="00975BD5"/>
    <w:p w:rsidR="00F444A7" w:rsidRPr="006D7DCB" w:rsidRDefault="00F444A7" w:rsidP="00975BD5">
      <w:pPr>
        <w:pStyle w:val="IEEEParagraph"/>
        <w:rPr>
          <w:sz w:val="24"/>
        </w:rPr>
      </w:pPr>
      <w:r w:rsidRPr="006D7DCB">
        <w:rPr>
          <w:sz w:val="24"/>
        </w:rPr>
        <w:t>All paragraphs must be indented.  All paragraphs must be justified, i.e. both left-justified and right-justified.</w:t>
      </w:r>
    </w:p>
    <w:p w:rsidR="00F444A7" w:rsidRPr="006D7DCB" w:rsidRDefault="00F444A7" w:rsidP="00975BD5">
      <w:pPr>
        <w:pStyle w:val="IEEEHeading2"/>
        <w:numPr>
          <w:ilvl w:val="0"/>
          <w:numId w:val="3"/>
        </w:numPr>
        <w:spacing w:before="0" w:after="0"/>
        <w:rPr>
          <w:i w:val="0"/>
          <w:sz w:val="24"/>
        </w:rPr>
      </w:pPr>
      <w:r w:rsidRPr="006D7DCB">
        <w:rPr>
          <w:i w:val="0"/>
          <w:sz w:val="24"/>
        </w:rPr>
        <w:t>Text Font of Entire Document</w:t>
      </w:r>
    </w:p>
    <w:p w:rsidR="00F444A7" w:rsidRPr="006D7DCB" w:rsidRDefault="00F444A7" w:rsidP="00975BD5">
      <w:pPr>
        <w:pStyle w:val="IEEEParagraph"/>
        <w:rPr>
          <w:sz w:val="24"/>
        </w:rPr>
      </w:pPr>
      <w:r w:rsidRPr="006D7DCB">
        <w:rPr>
          <w:sz w:val="24"/>
        </w:rPr>
        <w:lastRenderedPageBreak/>
        <w:t xml:space="preserve">The entire document should be in Times New Roman </w:t>
      </w:r>
      <w:r>
        <w:rPr>
          <w:sz w:val="24"/>
        </w:rPr>
        <w:t>12</w:t>
      </w:r>
      <w:r w:rsidRPr="006D7DCB">
        <w:rPr>
          <w:sz w:val="24"/>
        </w:rPr>
        <w:t>pt Regular font</w:t>
      </w:r>
      <w:r w:rsidR="008459DD">
        <w:rPr>
          <w:sz w:val="24"/>
        </w:rPr>
        <w:t xml:space="preserve"> </w:t>
      </w:r>
      <w:r>
        <w:rPr>
          <w:sz w:val="24"/>
        </w:rPr>
        <w:t xml:space="preserve">must </w:t>
      </w:r>
      <w:r w:rsidRPr="006D7DCB">
        <w:rPr>
          <w:sz w:val="24"/>
        </w:rPr>
        <w:t>be used.  Other font types may be used if needed for special purposes.</w:t>
      </w:r>
    </w:p>
    <w:p w:rsidR="00F444A7" w:rsidRDefault="00F444A7" w:rsidP="00975BD5">
      <w:pPr>
        <w:pStyle w:val="IEEEParagraph"/>
        <w:rPr>
          <w:sz w:val="24"/>
        </w:rPr>
      </w:pPr>
      <w:r w:rsidRPr="006D7DCB">
        <w:rPr>
          <w:sz w:val="24"/>
        </w:rPr>
        <w:t>Recommended font sizes are shown in Table 1.</w:t>
      </w:r>
    </w:p>
    <w:p w:rsidR="002D725B" w:rsidRDefault="002D725B" w:rsidP="00975BD5">
      <w:pPr>
        <w:pStyle w:val="IEEEParagraph"/>
        <w:rPr>
          <w:sz w:val="24"/>
        </w:rPr>
      </w:pPr>
    </w:p>
    <w:p w:rsidR="002D725B" w:rsidRDefault="002D725B" w:rsidP="00975BD5">
      <w:pPr>
        <w:pStyle w:val="IEEEParagraph"/>
        <w:rPr>
          <w:sz w:val="24"/>
        </w:rPr>
      </w:pPr>
    </w:p>
    <w:p w:rsidR="002D725B" w:rsidRDefault="00AB78ED" w:rsidP="002D725B">
      <w:pPr>
        <w:pStyle w:val="IEEEParagraph"/>
        <w:jc w:val="center"/>
      </w:pPr>
      <w:r w:rsidRPr="002D725B">
        <w:rPr>
          <w:noProof/>
          <w:sz w:val="24"/>
        </w:rPr>
        <mc:AlternateContent>
          <mc:Choice Requires="wps">
            <w:drawing>
              <wp:anchor distT="0" distB="0" distL="114300" distR="114300" simplePos="0" relativeHeight="251659264" behindDoc="1" locked="0" layoutInCell="1" allowOverlap="1">
                <wp:simplePos x="0" y="0"/>
                <wp:positionH relativeFrom="page">
                  <wp:posOffset>3676650</wp:posOffset>
                </wp:positionH>
                <wp:positionV relativeFrom="paragraph">
                  <wp:posOffset>57785</wp:posOffset>
                </wp:positionV>
                <wp:extent cx="0" cy="142240"/>
                <wp:effectExtent l="9525" t="10160" r="9525" b="952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240"/>
                        </a:xfrm>
                        <a:prstGeom prst="line">
                          <a:avLst/>
                        </a:prstGeom>
                        <a:noFill/>
                        <a:ln w="3556">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2DEA7"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9.5pt,4.55pt" to="28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" strokecolor="blue" strokeweight=".28pt">
                <w10:wrap anchorx="page"/>
              </v:line>
            </w:pict>
          </mc:Fallback>
        </mc:AlternateContent>
      </w:r>
      <w:r w:rsidR="002D725B" w:rsidRPr="002D725B">
        <w:rPr>
          <w:sz w:val="24"/>
        </w:rPr>
        <w:t>Table 1: Facts of the Case</w:t>
      </w:r>
    </w:p>
    <w:p w:rsidR="002D725B" w:rsidRDefault="002D725B" w:rsidP="002D725B">
      <w:pPr>
        <w:pStyle w:val="BodyText"/>
        <w:spacing w:before="10"/>
        <w:rPr>
          <w:b/>
          <w:sz w:val="24"/>
        </w:rPr>
      </w:pPr>
    </w:p>
    <w:tbl>
      <w:tblPr>
        <w:tblpPr w:leftFromText="180" w:rightFromText="180" w:vertAnchor="text" w:tblpY="1"/>
        <w:tblOverlap w:val="never"/>
        <w:tblW w:w="8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2"/>
        <w:gridCol w:w="7107"/>
      </w:tblGrid>
      <w:tr w:rsidR="002D725B" w:rsidTr="002D725B">
        <w:trPr>
          <w:trHeight w:val="225"/>
        </w:trPr>
        <w:tc>
          <w:tcPr>
            <w:tcW w:w="1862" w:type="dxa"/>
          </w:tcPr>
          <w:p w:rsidR="002D725B" w:rsidRPr="002D725B" w:rsidRDefault="002D725B" w:rsidP="002D725B">
            <w:pPr>
              <w:pStyle w:val="IEEEParagraph"/>
              <w:rPr>
                <w:sz w:val="24"/>
              </w:rPr>
            </w:pPr>
            <w:r w:rsidRPr="002D725B">
              <w:rPr>
                <w:sz w:val="24"/>
              </w:rPr>
              <w:t>Complainant</w:t>
            </w:r>
          </w:p>
        </w:tc>
        <w:tc>
          <w:tcPr>
            <w:tcW w:w="7107" w:type="dxa"/>
          </w:tcPr>
          <w:p w:rsidR="002D725B" w:rsidRPr="002D725B" w:rsidRDefault="002D725B" w:rsidP="002D725B">
            <w:pPr>
              <w:pStyle w:val="IEEEParagraph"/>
              <w:rPr>
                <w:sz w:val="24"/>
              </w:rPr>
            </w:pPr>
            <w:r w:rsidRPr="002D725B">
              <w:rPr>
                <w:sz w:val="24"/>
              </w:rPr>
              <w:t>Ecuador, Guatemala, Honduras, Mexico, United States</w:t>
            </w:r>
          </w:p>
        </w:tc>
      </w:tr>
      <w:tr w:rsidR="002D725B" w:rsidTr="002D725B">
        <w:trPr>
          <w:trHeight w:val="227"/>
        </w:trPr>
        <w:tc>
          <w:tcPr>
            <w:tcW w:w="1862" w:type="dxa"/>
          </w:tcPr>
          <w:p w:rsidR="002D725B" w:rsidRPr="002D725B" w:rsidRDefault="002D725B" w:rsidP="002D725B">
            <w:pPr>
              <w:pStyle w:val="IEEEParagraph"/>
              <w:rPr>
                <w:sz w:val="24"/>
              </w:rPr>
            </w:pPr>
            <w:r w:rsidRPr="002D725B">
              <w:rPr>
                <w:sz w:val="24"/>
              </w:rPr>
              <w:t>Respondent</w:t>
            </w:r>
          </w:p>
        </w:tc>
        <w:tc>
          <w:tcPr>
            <w:tcW w:w="7107" w:type="dxa"/>
          </w:tcPr>
          <w:p w:rsidR="002D725B" w:rsidRPr="002D725B" w:rsidRDefault="002D725B" w:rsidP="002D725B">
            <w:pPr>
              <w:pStyle w:val="IEEEParagraph"/>
              <w:rPr>
                <w:sz w:val="24"/>
              </w:rPr>
            </w:pPr>
            <w:r w:rsidRPr="002D725B">
              <w:rPr>
                <w:sz w:val="24"/>
              </w:rPr>
              <w:t>European Communities</w:t>
            </w:r>
          </w:p>
        </w:tc>
      </w:tr>
      <w:tr w:rsidR="002D725B" w:rsidTr="002D725B">
        <w:trPr>
          <w:trHeight w:val="1365"/>
        </w:trPr>
        <w:tc>
          <w:tcPr>
            <w:tcW w:w="1862" w:type="dxa"/>
          </w:tcPr>
          <w:p w:rsidR="002D725B" w:rsidRPr="002D725B" w:rsidRDefault="002D725B" w:rsidP="002D725B">
            <w:pPr>
              <w:pStyle w:val="IEEEParagraph"/>
              <w:rPr>
                <w:sz w:val="24"/>
              </w:rPr>
            </w:pPr>
            <w:r w:rsidRPr="002D725B">
              <w:rPr>
                <w:sz w:val="24"/>
              </w:rPr>
              <w:t>Third Parties</w:t>
            </w:r>
          </w:p>
        </w:tc>
        <w:tc>
          <w:tcPr>
            <w:tcW w:w="7107" w:type="dxa"/>
          </w:tcPr>
          <w:p w:rsidR="002D725B" w:rsidRPr="002D725B" w:rsidRDefault="002D725B" w:rsidP="002D725B">
            <w:pPr>
              <w:pStyle w:val="IEEEParagraph"/>
              <w:ind w:firstLine="0"/>
              <w:jc w:val="left"/>
              <w:rPr>
                <w:sz w:val="24"/>
              </w:rPr>
            </w:pPr>
            <w:r w:rsidRPr="002D725B">
              <w:rPr>
                <w:sz w:val="24"/>
              </w:rPr>
              <w:t>Traditional ACP Banana Suppliers -Belize; Cameroon; Dominica;</w:t>
            </w:r>
            <w:r>
              <w:rPr>
                <w:sz w:val="24"/>
              </w:rPr>
              <w:t xml:space="preserve"> </w:t>
            </w:r>
            <w:r w:rsidRPr="002D725B">
              <w:rPr>
                <w:sz w:val="24"/>
              </w:rPr>
              <w:t>Grenada; Jamaica; Saint Lucia; Saint Vincent and the Grenadines; Côte d’Ivoire; Suriname; Non-Traditional ACP Banana Suppliers - Dominican Republic; Ghana; Madagascar Latin American Suppliers - Colombia; Costa Rica; Mauritius; Nicaragua; Panama; Senegal; Venezuela, Bolivarian Republic of;</w:t>
            </w:r>
            <w:r>
              <w:rPr>
                <w:sz w:val="24"/>
              </w:rPr>
              <w:t xml:space="preserve"> </w:t>
            </w:r>
            <w:r w:rsidRPr="002D725B">
              <w:rPr>
                <w:sz w:val="24"/>
              </w:rPr>
              <w:t>Brazil; Others - Canada; India; Japan; Philippines</w:t>
            </w:r>
          </w:p>
        </w:tc>
      </w:tr>
      <w:tr w:rsidR="002D725B" w:rsidTr="002D725B">
        <w:trPr>
          <w:trHeight w:val="455"/>
        </w:trPr>
        <w:tc>
          <w:tcPr>
            <w:tcW w:w="1862" w:type="dxa"/>
          </w:tcPr>
          <w:p w:rsidR="002D725B" w:rsidRPr="002D725B" w:rsidRDefault="002D725B" w:rsidP="002D725B">
            <w:pPr>
              <w:pStyle w:val="IEEEParagraph"/>
              <w:ind w:firstLine="0"/>
              <w:jc w:val="left"/>
              <w:rPr>
                <w:sz w:val="24"/>
              </w:rPr>
            </w:pPr>
            <w:r w:rsidRPr="002D725B">
              <w:rPr>
                <w:sz w:val="24"/>
              </w:rPr>
              <w:t>Provisions of WTO</w:t>
            </w:r>
            <w:r>
              <w:rPr>
                <w:sz w:val="24"/>
              </w:rPr>
              <w:t xml:space="preserve"> </w:t>
            </w:r>
            <w:r w:rsidRPr="002D725B">
              <w:rPr>
                <w:sz w:val="24"/>
              </w:rPr>
              <w:t>invoked</w:t>
            </w:r>
          </w:p>
        </w:tc>
        <w:tc>
          <w:tcPr>
            <w:tcW w:w="7107" w:type="dxa"/>
          </w:tcPr>
          <w:p w:rsidR="002D725B" w:rsidRPr="002D725B" w:rsidRDefault="002D725B" w:rsidP="002D725B">
            <w:pPr>
              <w:pStyle w:val="IEEEParagraph"/>
              <w:rPr>
                <w:sz w:val="24"/>
              </w:rPr>
            </w:pPr>
            <w:r w:rsidRPr="002D725B">
              <w:rPr>
                <w:sz w:val="24"/>
              </w:rPr>
              <w:t>GATT 1994 – Most Favoured Nation principle, Preferential Tariff Rate</w:t>
            </w:r>
          </w:p>
          <w:p w:rsidR="002D725B" w:rsidRPr="002D725B" w:rsidRDefault="002D725B" w:rsidP="002D725B">
            <w:pPr>
              <w:pStyle w:val="IEEEParagraph"/>
              <w:rPr>
                <w:sz w:val="24"/>
              </w:rPr>
            </w:pPr>
            <w:r w:rsidRPr="002D725B">
              <w:rPr>
                <w:sz w:val="24"/>
              </w:rPr>
              <w:t>Quota, Import Licensing</w:t>
            </w:r>
          </w:p>
        </w:tc>
      </w:tr>
    </w:tbl>
    <w:p w:rsidR="002D725B" w:rsidRPr="002D725B" w:rsidRDefault="002D725B" w:rsidP="002D725B">
      <w:pPr>
        <w:pStyle w:val="IEEEParagraph"/>
        <w:rPr>
          <w:sz w:val="24"/>
        </w:rPr>
      </w:pPr>
      <w:r w:rsidRPr="002D725B">
        <w:rPr>
          <w:sz w:val="24"/>
        </w:rPr>
        <w:t xml:space="preserve">Source: </w:t>
      </w:r>
      <w:hyperlink r:id="rId9">
        <w:r w:rsidRPr="002D725B">
          <w:rPr>
            <w:sz w:val="24"/>
          </w:rPr>
          <w:t>www.wto.org</w:t>
        </w:r>
      </w:hyperlink>
    </w:p>
    <w:p w:rsidR="002D725B" w:rsidRDefault="002D725B" w:rsidP="00975BD5">
      <w:pPr>
        <w:pStyle w:val="IEEEParagraph"/>
        <w:rPr>
          <w:sz w:val="24"/>
        </w:rPr>
      </w:pPr>
    </w:p>
    <w:p w:rsidR="002D725B" w:rsidRDefault="002D725B" w:rsidP="002D725B">
      <w:pPr>
        <w:pStyle w:val="IEEEParagraph"/>
        <w:rPr>
          <w:sz w:val="24"/>
        </w:rPr>
      </w:pPr>
      <w:r w:rsidRPr="002D725B">
        <w:rPr>
          <w:sz w:val="24"/>
        </w:rPr>
        <w:t>Tables should have</w:t>
      </w:r>
    </w:p>
    <w:p w:rsidR="002D725B" w:rsidRDefault="002D725B" w:rsidP="002D725B">
      <w:pPr>
        <w:pStyle w:val="IEEEParagraph"/>
        <w:numPr>
          <w:ilvl w:val="0"/>
          <w:numId w:val="10"/>
        </w:numPr>
        <w:rPr>
          <w:sz w:val="24"/>
        </w:rPr>
      </w:pPr>
      <w:r w:rsidRPr="002D725B">
        <w:rPr>
          <w:sz w:val="24"/>
        </w:rPr>
        <w:t>Table number followed by Title on the top</w:t>
      </w:r>
    </w:p>
    <w:p w:rsidR="002D725B" w:rsidRDefault="002D725B" w:rsidP="002D725B">
      <w:pPr>
        <w:pStyle w:val="IEEEParagraph"/>
        <w:numPr>
          <w:ilvl w:val="0"/>
          <w:numId w:val="10"/>
        </w:numPr>
        <w:rPr>
          <w:sz w:val="24"/>
        </w:rPr>
      </w:pPr>
      <w:r w:rsidRPr="002D725B">
        <w:rPr>
          <w:sz w:val="24"/>
        </w:rPr>
        <w:t>Source of the Table at the bottom</w:t>
      </w:r>
    </w:p>
    <w:p w:rsidR="002D725B" w:rsidRDefault="002D725B" w:rsidP="002D725B">
      <w:pPr>
        <w:pStyle w:val="IEEEParagraph"/>
        <w:numPr>
          <w:ilvl w:val="0"/>
          <w:numId w:val="10"/>
        </w:numPr>
        <w:rPr>
          <w:sz w:val="24"/>
        </w:rPr>
      </w:pPr>
      <w:r w:rsidRPr="002D725B">
        <w:rPr>
          <w:sz w:val="24"/>
        </w:rPr>
        <w:t>Table number should mentioned at its appropriate place in the article text</w:t>
      </w:r>
    </w:p>
    <w:p w:rsidR="002D725B" w:rsidRDefault="002D725B" w:rsidP="002D725B">
      <w:pPr>
        <w:pStyle w:val="IEEEParagraph"/>
        <w:numPr>
          <w:ilvl w:val="0"/>
          <w:numId w:val="10"/>
        </w:numPr>
        <w:rPr>
          <w:sz w:val="24"/>
        </w:rPr>
      </w:pPr>
      <w:r w:rsidRPr="002D725B">
        <w:rPr>
          <w:sz w:val="24"/>
        </w:rPr>
        <w:t>Font: Times New Roman</w:t>
      </w:r>
    </w:p>
    <w:p w:rsidR="002D725B" w:rsidRPr="002D725B" w:rsidRDefault="002D725B" w:rsidP="002D725B">
      <w:pPr>
        <w:pStyle w:val="IEEEParagraph"/>
        <w:numPr>
          <w:ilvl w:val="0"/>
          <w:numId w:val="10"/>
        </w:numPr>
        <w:rPr>
          <w:sz w:val="24"/>
        </w:rPr>
      </w:pPr>
      <w:r w:rsidRPr="002D725B">
        <w:rPr>
          <w:sz w:val="24"/>
        </w:rPr>
        <w:t>Font size: 11 for Table Heading</w:t>
      </w:r>
      <w:r>
        <w:rPr>
          <w:sz w:val="24"/>
        </w:rPr>
        <w:t xml:space="preserve">, </w:t>
      </w:r>
      <w:r w:rsidRPr="002D725B">
        <w:rPr>
          <w:sz w:val="24"/>
        </w:rPr>
        <w:t>10 for Table contents 9 for Source</w:t>
      </w:r>
    </w:p>
    <w:p w:rsidR="002D725B" w:rsidRPr="006D7DCB" w:rsidRDefault="002D725B" w:rsidP="00975BD5">
      <w:pPr>
        <w:pStyle w:val="IEEEParagraph"/>
        <w:rPr>
          <w:sz w:val="24"/>
        </w:rPr>
      </w:pPr>
    </w:p>
    <w:p w:rsidR="00F444A7" w:rsidRPr="006D7DCB" w:rsidRDefault="00F444A7" w:rsidP="00975BD5">
      <w:pPr>
        <w:pStyle w:val="IEEEParagraph"/>
        <w:rPr>
          <w:sz w:val="24"/>
        </w:rPr>
      </w:pPr>
    </w:p>
    <w:p w:rsidR="00F444A7" w:rsidRPr="006D7DCB" w:rsidRDefault="00F444A7" w:rsidP="00975BD5">
      <w:pPr>
        <w:pStyle w:val="IEEEHeading2"/>
        <w:numPr>
          <w:ilvl w:val="0"/>
          <w:numId w:val="3"/>
        </w:numPr>
        <w:spacing w:before="0" w:after="0"/>
        <w:rPr>
          <w:i w:val="0"/>
          <w:sz w:val="24"/>
        </w:rPr>
      </w:pPr>
      <w:r w:rsidRPr="006D7DCB">
        <w:rPr>
          <w:i w:val="0"/>
          <w:sz w:val="24"/>
        </w:rPr>
        <w:t>Section Headings</w:t>
      </w:r>
    </w:p>
    <w:p w:rsidR="00F444A7" w:rsidRPr="006D7DCB" w:rsidRDefault="00F444A7" w:rsidP="00975BD5">
      <w:pPr>
        <w:pStyle w:val="IEEEParagraph"/>
        <w:rPr>
          <w:sz w:val="24"/>
        </w:rPr>
      </w:pPr>
      <w:r w:rsidRPr="006D7DCB">
        <w:rPr>
          <w:sz w:val="24"/>
        </w:rPr>
        <w:t xml:space="preserve">No more than 3 levels of headings should be used.  </w:t>
      </w:r>
      <w:r>
        <w:rPr>
          <w:sz w:val="24"/>
        </w:rPr>
        <w:t>All headings must be in 12</w:t>
      </w:r>
      <w:r w:rsidRPr="006D7DCB">
        <w:rPr>
          <w:sz w:val="24"/>
        </w:rPr>
        <w:t>pt font.  Every word in a heading must be capitalized except for short minor words as listed in Section III-B.</w:t>
      </w:r>
    </w:p>
    <w:p w:rsidR="00F444A7" w:rsidRPr="006D7DCB" w:rsidRDefault="00F444A7" w:rsidP="00975BD5">
      <w:pPr>
        <w:pStyle w:val="IEEEHeading3"/>
        <w:spacing w:before="0" w:after="0"/>
        <w:rPr>
          <w:sz w:val="24"/>
        </w:rPr>
      </w:pPr>
      <w:r w:rsidRPr="006D7DCB">
        <w:rPr>
          <w:sz w:val="24"/>
        </w:rPr>
        <w:t>Level-1 Heading</w:t>
      </w:r>
      <w:r w:rsidRPr="006D7DCB">
        <w:rPr>
          <w:i w:val="0"/>
          <w:iCs/>
          <w:sz w:val="24"/>
        </w:rPr>
        <w:t>:  A level-1 heading must be in Small Caps, centered and numbered using uppercase Roman numerals.  For example, see heading “III. Page Style” of this document.  The two level-1 headings which must not be numbered are “Acknowledgment” and “References”.</w:t>
      </w:r>
    </w:p>
    <w:p w:rsidR="00F444A7" w:rsidRPr="006D7DCB" w:rsidRDefault="00F444A7" w:rsidP="00975BD5">
      <w:pPr>
        <w:pStyle w:val="IEEEHeading3"/>
        <w:spacing w:before="0" w:after="0"/>
        <w:rPr>
          <w:sz w:val="24"/>
        </w:rPr>
      </w:pPr>
      <w:r w:rsidRPr="006D7DCB">
        <w:rPr>
          <w:sz w:val="24"/>
        </w:rPr>
        <w:t>Level-2 Heading:</w:t>
      </w:r>
      <w:r w:rsidRPr="006D7DCB">
        <w:rPr>
          <w:i w:val="0"/>
          <w:iCs/>
          <w:sz w:val="24"/>
        </w:rPr>
        <w:t xml:space="preserve">  A level-2 heading must be in Italic, left-justified and numbered using an uppercase alphabetic letter followed by a period.  For example, see heading “C. Section Headings” above.</w:t>
      </w:r>
    </w:p>
    <w:p w:rsidR="00F444A7" w:rsidRPr="006D7DCB" w:rsidRDefault="00F444A7" w:rsidP="00975BD5">
      <w:pPr>
        <w:pStyle w:val="IEEEHeading3"/>
        <w:spacing w:before="0" w:after="0"/>
        <w:rPr>
          <w:i w:val="0"/>
          <w:iCs/>
          <w:sz w:val="24"/>
        </w:rPr>
      </w:pPr>
      <w:r w:rsidRPr="006D7DCB">
        <w:rPr>
          <w:sz w:val="24"/>
        </w:rPr>
        <w:t>Level-3 Heading:</w:t>
      </w:r>
      <w:r w:rsidRPr="006D7DCB">
        <w:rPr>
          <w:i w:val="0"/>
          <w:iCs/>
          <w:sz w:val="24"/>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F444A7" w:rsidRPr="006D7DCB" w:rsidRDefault="00F444A7" w:rsidP="00975BD5">
      <w:pPr>
        <w:pStyle w:val="IEEEHeading2"/>
        <w:spacing w:before="0" w:after="0"/>
        <w:rPr>
          <w:i w:val="0"/>
          <w:sz w:val="24"/>
          <w:lang w:val="en-GB"/>
        </w:rPr>
      </w:pPr>
      <w:r w:rsidRPr="006D7DCB">
        <w:rPr>
          <w:i w:val="0"/>
          <w:sz w:val="24"/>
          <w:lang w:val="en-GB"/>
        </w:rPr>
        <w:t>Figures and Tables</w:t>
      </w:r>
    </w:p>
    <w:p w:rsidR="00F444A7" w:rsidRPr="006D7DCB" w:rsidRDefault="00F444A7" w:rsidP="00975BD5">
      <w:pPr>
        <w:pStyle w:val="IEEEParagraph"/>
        <w:rPr>
          <w:sz w:val="24"/>
          <w:lang w:val="en-GB"/>
        </w:rPr>
      </w:pPr>
      <w:r w:rsidRPr="006D7DCB">
        <w:rPr>
          <w:sz w:val="24"/>
          <w:lang w:val="en-GB"/>
        </w:rPr>
        <w:t>Figures and tables must be centered in the column.  Large figures and tables may span across both columns.  Any table or figure that takes up more than 1 column width must be positioned either at the top or at the bottom of the page.</w:t>
      </w:r>
    </w:p>
    <w:p w:rsidR="00F444A7" w:rsidRDefault="00F444A7" w:rsidP="00975BD5">
      <w:pPr>
        <w:pStyle w:val="IEEEParagraph"/>
        <w:rPr>
          <w:sz w:val="24"/>
          <w:lang w:val="en-GB"/>
        </w:rPr>
      </w:pPr>
      <w:r w:rsidRPr="006D7DCB">
        <w:rPr>
          <w:sz w:val="24"/>
          <w:lang w:val="en-GB"/>
        </w:rPr>
        <w:t xml:space="preserve">Graphics may be full color.  All colors will be retained on the CDROM.  Graphics must not use stipple fill patterns because they may not be reproduced properly.  Please use only </w:t>
      </w:r>
      <w:r w:rsidRPr="006D7DCB">
        <w:rPr>
          <w:i/>
          <w:iCs/>
          <w:sz w:val="24"/>
          <w:lang w:val="en-GB"/>
        </w:rPr>
        <w:t xml:space="preserve">SOLID </w:t>
      </w:r>
      <w:r w:rsidRPr="006D7DCB">
        <w:rPr>
          <w:i/>
          <w:iCs/>
          <w:sz w:val="24"/>
          <w:lang w:val="en-GB"/>
        </w:rPr>
        <w:lastRenderedPageBreak/>
        <w:t>FILL</w:t>
      </w:r>
      <w:r w:rsidRPr="006D7DCB">
        <w:rPr>
          <w:sz w:val="24"/>
        </w:rPr>
        <w:t>colors</w:t>
      </w:r>
      <w:r w:rsidRPr="006D7DCB">
        <w:rPr>
          <w:sz w:val="24"/>
          <w:lang w:val="en-GB"/>
        </w:rPr>
        <w:t xml:space="preserve"> which contrast well both on screen and on a black-and-white hardcopy, as shown in Fig. 1.</w:t>
      </w:r>
    </w:p>
    <w:p w:rsidR="002D725B" w:rsidRDefault="002D725B" w:rsidP="00975BD5">
      <w:pPr>
        <w:pStyle w:val="IEEEParagraph"/>
        <w:rPr>
          <w:sz w:val="24"/>
          <w:lang w:val="en-GB"/>
        </w:rPr>
      </w:pPr>
    </w:p>
    <w:p w:rsidR="002D725B" w:rsidRPr="006D7DCB" w:rsidRDefault="002D725B" w:rsidP="002D725B">
      <w:pPr>
        <w:pStyle w:val="IEEEParagraph"/>
        <w:jc w:val="center"/>
        <w:rPr>
          <w:sz w:val="24"/>
          <w:lang w:val="en-GB"/>
        </w:rPr>
      </w:pPr>
      <w:r>
        <w:rPr>
          <w:noProof/>
        </w:rPr>
        <w:drawing>
          <wp:inline distT="0" distB="0" distL="0" distR="0" wp14:anchorId="2E4A040B" wp14:editId="6889D350">
            <wp:extent cx="4572000" cy="2743200"/>
            <wp:effectExtent l="0" t="0" r="0" b="0"/>
            <wp:docPr id="4" name="Chart 4">
              <a:extLst xmlns:a="http://schemas.openxmlformats.org/drawingml/2006/main">
                <a:ext uri="{FF2B5EF4-FFF2-40B4-BE49-F238E27FC236}">
                  <a16:creationId xmlns:a16="http://schemas.microsoft.com/office/drawing/2014/main" id="{49EF8028-50EF-D424-8F4D-0810F6FE1C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444A7" w:rsidRDefault="002D725B" w:rsidP="00975BD5">
      <w:pPr>
        <w:pStyle w:val="IEEEParagraph"/>
        <w:rPr>
          <w:sz w:val="24"/>
        </w:rPr>
      </w:pPr>
      <w:r>
        <w:rPr>
          <w:sz w:val="24"/>
        </w:rPr>
        <w:t xml:space="preserve">Source: details </w:t>
      </w:r>
    </w:p>
    <w:p w:rsidR="002D725B" w:rsidRPr="006D7DCB" w:rsidRDefault="002D725B" w:rsidP="00975BD5">
      <w:pPr>
        <w:pStyle w:val="IEEEParagraph"/>
        <w:rPr>
          <w:sz w:val="24"/>
        </w:rPr>
      </w:pPr>
    </w:p>
    <w:p w:rsidR="00F444A7" w:rsidRPr="006D7DCB" w:rsidRDefault="00F444A7" w:rsidP="002D725B">
      <w:pPr>
        <w:pStyle w:val="IEEEFigureCaptionMulti-Lines"/>
        <w:spacing w:before="0" w:after="0"/>
        <w:jc w:val="left"/>
        <w:rPr>
          <w:sz w:val="24"/>
        </w:rPr>
      </w:pPr>
      <w:r w:rsidRPr="006D7DCB">
        <w:rPr>
          <w:sz w:val="24"/>
        </w:rPr>
        <w:t>Fig.</w:t>
      </w:r>
      <w:fldSimple w:instr=" SEQ Fig. \* ARABIC  \* MERGEFORMAT ">
        <w:r w:rsidRPr="006D7DCB">
          <w:rPr>
            <w:noProof/>
            <w:sz w:val="24"/>
          </w:rPr>
          <w:t>1</w:t>
        </w:r>
      </w:fldSimple>
      <w:r w:rsidRPr="006D7DCB">
        <w:rPr>
          <w:sz w:val="24"/>
        </w:rPr>
        <w:t xml:space="preserve">  A sample line graph using colors which contrast well both on screen and on a black-and-white hardcopy</w:t>
      </w:r>
    </w:p>
    <w:p w:rsidR="00F444A7" w:rsidRPr="006D7DCB" w:rsidRDefault="00F444A7" w:rsidP="00975BD5">
      <w:pPr>
        <w:pStyle w:val="IEEEParagraph"/>
        <w:rPr>
          <w:sz w:val="24"/>
        </w:rPr>
      </w:pPr>
    </w:p>
    <w:p w:rsidR="00F444A7" w:rsidRPr="006D7DCB" w:rsidRDefault="00F444A7" w:rsidP="00975BD5">
      <w:pPr>
        <w:pStyle w:val="IEEEParagraph"/>
        <w:rPr>
          <w:sz w:val="24"/>
          <w:lang w:val="en-GB"/>
        </w:rPr>
      </w:pPr>
      <w:r w:rsidRPr="006D7DCB">
        <w:rPr>
          <w:sz w:val="24"/>
          <w:lang w:val="en-GB"/>
        </w:rPr>
        <w:t>Fig. 2 shows an example of a low-resolution image which would not be acceptable, whereas Fig. 3 shows an example of an i</w:t>
      </w:r>
      <w:r>
        <w:rPr>
          <w:sz w:val="24"/>
          <w:lang w:val="en-GB"/>
        </w:rPr>
        <w:t>mage with adequate resolution.</w:t>
      </w:r>
      <w:r w:rsidRPr="006D7DCB">
        <w:rPr>
          <w:sz w:val="24"/>
          <w:lang w:val="en-GB"/>
        </w:rPr>
        <w:t>Check that the resolution is adequate to reveal the important detail in the figure.</w:t>
      </w:r>
    </w:p>
    <w:p w:rsidR="00F444A7" w:rsidRPr="006D7DCB" w:rsidRDefault="00F444A7" w:rsidP="00975BD5">
      <w:pPr>
        <w:pStyle w:val="IEEEParagraph"/>
        <w:rPr>
          <w:sz w:val="24"/>
          <w:lang w:val="en-GB"/>
        </w:rPr>
      </w:pPr>
      <w:r w:rsidRPr="006D7DCB">
        <w:rPr>
          <w:sz w:val="24"/>
          <w:lang w:val="en-GB"/>
        </w:rPr>
        <w:t>Please check all figures in your paper both on screen and on a black-and-white hardcopy.  When you check your paper on a black-and-white hardcopy, please ensure that:</w:t>
      </w:r>
    </w:p>
    <w:p w:rsidR="00F444A7" w:rsidRPr="006D7DCB" w:rsidRDefault="00F444A7" w:rsidP="00975BD5">
      <w:pPr>
        <w:pStyle w:val="IEEEParagraph"/>
        <w:numPr>
          <w:ilvl w:val="0"/>
          <w:numId w:val="5"/>
        </w:numPr>
        <w:rPr>
          <w:sz w:val="24"/>
        </w:rPr>
      </w:pPr>
      <w:r w:rsidRPr="006D7DCB">
        <w:rPr>
          <w:sz w:val="24"/>
          <w:lang w:val="en-GB"/>
        </w:rPr>
        <w:t>the colors used in each figure contrast well,</w:t>
      </w:r>
    </w:p>
    <w:p w:rsidR="00F444A7" w:rsidRPr="006D7DCB" w:rsidRDefault="00F444A7" w:rsidP="00975BD5">
      <w:pPr>
        <w:pStyle w:val="IEEEParagraph"/>
        <w:numPr>
          <w:ilvl w:val="0"/>
          <w:numId w:val="5"/>
        </w:numPr>
        <w:rPr>
          <w:sz w:val="24"/>
        </w:rPr>
      </w:pPr>
      <w:r w:rsidRPr="006D7DCB">
        <w:rPr>
          <w:sz w:val="24"/>
          <w:lang w:val="en-GB"/>
        </w:rPr>
        <w:t>the image used in each figure is clear,</w:t>
      </w:r>
    </w:p>
    <w:p w:rsidR="00F444A7" w:rsidRPr="006D7DCB" w:rsidRDefault="00F444A7" w:rsidP="00975BD5">
      <w:pPr>
        <w:pStyle w:val="IEEEParagraph"/>
        <w:numPr>
          <w:ilvl w:val="0"/>
          <w:numId w:val="5"/>
        </w:numPr>
        <w:rPr>
          <w:sz w:val="24"/>
        </w:rPr>
      </w:pPr>
      <w:r w:rsidRPr="006D7DCB">
        <w:rPr>
          <w:sz w:val="24"/>
          <w:lang w:val="en-GB"/>
        </w:rPr>
        <w:t>all text labels in each figure are legible.</w:t>
      </w:r>
    </w:p>
    <w:p w:rsidR="00F444A7" w:rsidRPr="006D7DCB" w:rsidRDefault="00F444A7" w:rsidP="00975BD5">
      <w:pPr>
        <w:pStyle w:val="IEEEHeading2"/>
        <w:spacing w:before="0" w:after="0"/>
        <w:ind w:left="288" w:hanging="288"/>
        <w:rPr>
          <w:sz w:val="24"/>
        </w:rPr>
      </w:pPr>
      <w:r w:rsidRPr="006D7DCB">
        <w:rPr>
          <w:sz w:val="24"/>
        </w:rPr>
        <w:t>Figure Captions</w:t>
      </w:r>
    </w:p>
    <w:p w:rsidR="00F444A7" w:rsidRPr="006D7DCB" w:rsidRDefault="00F444A7" w:rsidP="00975BD5">
      <w:pPr>
        <w:pStyle w:val="IEEEParagraph"/>
        <w:rPr>
          <w:sz w:val="24"/>
          <w:lang w:val="en-GB"/>
        </w:rPr>
      </w:pPr>
      <w:r w:rsidRPr="006D7DCB">
        <w:rPr>
          <w:sz w:val="24"/>
          <w:lang w:val="en-GB"/>
        </w:rPr>
        <w:t>Figures must be numbered using Arabic numerals.  Figure captions must be in 8 pt Regular font.  Captions of a single line (e.g. Fig. 2) must be centered whereas multi-line captions must be justified (e.g. Fig. 1).  Captions with figure numbers must be placed after their associated figures, as shown in     Fig. 1.</w:t>
      </w:r>
    </w:p>
    <w:p w:rsidR="00F444A7" w:rsidRPr="006D7DCB" w:rsidRDefault="00F444A7" w:rsidP="00975BD5">
      <w:pPr>
        <w:pStyle w:val="IEEEFigure"/>
      </w:pPr>
      <w:r>
        <w:rPr>
          <w:noProof/>
          <w:lang w:val="en-US" w:eastAsia="en-US"/>
        </w:rPr>
        <w:drawing>
          <wp:inline distT="0" distB="0" distL="0" distR="0">
            <wp:extent cx="16287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rsidR="00F444A7" w:rsidRPr="006D7DCB" w:rsidRDefault="00F444A7" w:rsidP="00975BD5">
      <w:pPr>
        <w:pStyle w:val="IEEEFigureCaptionSingle-Line"/>
        <w:spacing w:before="0" w:after="0"/>
        <w:rPr>
          <w:sz w:val="24"/>
        </w:rPr>
      </w:pPr>
      <w:r w:rsidRPr="006D7DCB">
        <w:rPr>
          <w:sz w:val="24"/>
        </w:rPr>
        <w:t>Fig.</w:t>
      </w:r>
      <w:fldSimple w:instr=" SEQ Fig. \* ARABIC  \* MERGEFORMAT ">
        <w:r w:rsidRPr="006D7DCB">
          <w:rPr>
            <w:noProof/>
            <w:sz w:val="24"/>
          </w:rPr>
          <w:t>2</w:t>
        </w:r>
      </w:fldSimple>
      <w:r w:rsidRPr="006D7DCB">
        <w:rPr>
          <w:sz w:val="24"/>
        </w:rPr>
        <w:t xml:space="preserve">  Example of an unacceptable low-resolution image</w:t>
      </w:r>
    </w:p>
    <w:p w:rsidR="00F444A7" w:rsidRPr="006D7DCB" w:rsidRDefault="00F444A7" w:rsidP="00975BD5">
      <w:pPr>
        <w:pStyle w:val="IEEEParagraph"/>
        <w:rPr>
          <w:sz w:val="24"/>
        </w:rPr>
      </w:pPr>
    </w:p>
    <w:p w:rsidR="00F444A7" w:rsidRPr="006D7DCB" w:rsidRDefault="00F444A7" w:rsidP="00975BD5">
      <w:pPr>
        <w:pStyle w:val="IEEEHeading2"/>
        <w:spacing w:before="0" w:after="0"/>
        <w:rPr>
          <w:i w:val="0"/>
          <w:sz w:val="24"/>
        </w:rPr>
      </w:pPr>
      <w:r w:rsidRPr="006D7DCB">
        <w:rPr>
          <w:i w:val="0"/>
          <w:sz w:val="24"/>
        </w:rPr>
        <w:lastRenderedPageBreak/>
        <w:t>Page Numbers, Headers and Footers</w:t>
      </w:r>
    </w:p>
    <w:p w:rsidR="00F444A7" w:rsidRPr="006D7DCB" w:rsidRDefault="00F444A7" w:rsidP="00975BD5">
      <w:pPr>
        <w:pStyle w:val="IEEEParagraph"/>
        <w:rPr>
          <w:sz w:val="24"/>
        </w:rPr>
      </w:pPr>
      <w:r w:rsidRPr="006D7DCB">
        <w:rPr>
          <w:sz w:val="24"/>
        </w:rPr>
        <w:t>Page numbers, headers and footers must not be used.</w:t>
      </w:r>
    </w:p>
    <w:p w:rsidR="00F444A7" w:rsidRDefault="00F444A7" w:rsidP="00975BD5">
      <w:pPr>
        <w:pStyle w:val="IEEEHeading2"/>
        <w:spacing w:before="0" w:after="0"/>
        <w:rPr>
          <w:i w:val="0"/>
          <w:sz w:val="24"/>
        </w:rPr>
      </w:pPr>
      <w:r w:rsidRPr="006D7DCB">
        <w:rPr>
          <w:i w:val="0"/>
          <w:sz w:val="24"/>
        </w:rPr>
        <w:t>References</w:t>
      </w:r>
    </w:p>
    <w:p w:rsidR="00AB78ED" w:rsidRDefault="00AB78ED" w:rsidP="00AB78ED">
      <w:pPr>
        <w:pStyle w:val="IEEEParagraph"/>
      </w:pPr>
    </w:p>
    <w:p w:rsidR="00AB78ED" w:rsidRPr="00AB78ED" w:rsidRDefault="00AB78ED" w:rsidP="00AB78ED">
      <w:pPr>
        <w:pStyle w:val="IEEEParagraph"/>
        <w:rPr>
          <w:color w:val="333333"/>
          <w:sz w:val="24"/>
          <w:shd w:val="clear" w:color="auto" w:fill="FFFFFF"/>
        </w:rPr>
      </w:pPr>
      <w:r w:rsidRPr="00AB78ED">
        <w:rPr>
          <w:color w:val="333333"/>
          <w:sz w:val="24"/>
          <w:shd w:val="clear" w:color="auto" w:fill="FFFFFF"/>
        </w:rPr>
        <w:t>T</w:t>
      </w:r>
      <w:r w:rsidRPr="00AB78ED">
        <w:rPr>
          <w:color w:val="333333"/>
          <w:sz w:val="24"/>
          <w:shd w:val="clear" w:color="auto" w:fill="FFFFFF"/>
        </w:rPr>
        <w:t>he APA in text reference is in the format </w:t>
      </w:r>
      <w:r w:rsidRPr="00AB78ED">
        <w:rPr>
          <w:rStyle w:val="Strong"/>
          <w:color w:val="333333"/>
          <w:sz w:val="24"/>
          <w:shd w:val="clear" w:color="auto" w:fill="FFFFFF"/>
        </w:rPr>
        <w:t>(author, date)</w:t>
      </w:r>
      <w:r w:rsidRPr="00AB78ED">
        <w:rPr>
          <w:color w:val="333333"/>
          <w:sz w:val="24"/>
          <w:shd w:val="clear" w:color="auto" w:fill="FFFFFF"/>
        </w:rPr>
        <w:t>. When directly quoting from a text you must include a page number in the citation as given in the examples below. Including page numbers in all other circumstances is not required however, it is best practice to do so when referring to part of a work (e.g. a paragraph or chapter in a book). When referring to an entire work that covers a single topic (e.g. a journal article) it is not required.</w:t>
      </w:r>
    </w:p>
    <w:p w:rsidR="00AB78ED" w:rsidRPr="00AB78ED" w:rsidRDefault="00AB78ED" w:rsidP="00AB78ED">
      <w:pPr>
        <w:pStyle w:val="IEEEParagraph"/>
        <w:rPr>
          <w:sz w:val="24"/>
        </w:rPr>
      </w:pPr>
    </w:p>
    <w:p w:rsidR="00F444A7" w:rsidRPr="00AB78ED" w:rsidRDefault="00F444A7" w:rsidP="00AB78ED">
      <w:pPr>
        <w:pStyle w:val="IEEEParagraph"/>
        <w:rPr>
          <w:sz w:val="24"/>
          <w:lang w:val="en-GB"/>
        </w:rPr>
      </w:pPr>
      <w:r w:rsidRPr="00AB78ED">
        <w:rPr>
          <w:sz w:val="24"/>
          <w:lang w:val="en-GB"/>
        </w:rPr>
        <w:t xml:space="preserve">The heading of the References section must not be numbered.  All reference items must be in 12pt font.  </w:t>
      </w:r>
    </w:p>
    <w:p w:rsidR="00AB78ED" w:rsidRPr="00AB78ED" w:rsidRDefault="00AB78ED" w:rsidP="00975BD5">
      <w:pPr>
        <w:pStyle w:val="IEEEParagraph"/>
        <w:ind w:left="504" w:firstLine="0"/>
        <w:rPr>
          <w:sz w:val="24"/>
          <w:lang w:val="en-GB"/>
        </w:rPr>
      </w:pPr>
    </w:p>
    <w:p w:rsidR="00AB78ED" w:rsidRPr="00AB78ED" w:rsidRDefault="00AB78ED" w:rsidP="00AB78ED">
      <w:pPr>
        <w:pStyle w:val="NormalWeb"/>
        <w:shd w:val="clear" w:color="auto" w:fill="FFFFFF"/>
        <w:spacing w:before="0" w:beforeAutospacing="0" w:after="150" w:afterAutospacing="0"/>
        <w:rPr>
          <w:color w:val="333333"/>
        </w:rPr>
      </w:pPr>
      <w:r w:rsidRPr="00AB78ED">
        <w:rPr>
          <w:color w:val="333333"/>
        </w:rPr>
        <w:t>Your reference list should be ordered alphabetically by author and then chronologically by year of publication. The APA 6th style requires the references to be indented as illustrated below in the examples.</w:t>
      </w:r>
    </w:p>
    <w:p w:rsidR="00AB78ED" w:rsidRPr="00AB78ED" w:rsidRDefault="00AB78ED" w:rsidP="00AB78ED">
      <w:pPr>
        <w:pStyle w:val="NormalWeb"/>
        <w:shd w:val="clear" w:color="auto" w:fill="FFFFFF"/>
        <w:spacing w:before="0" w:beforeAutospacing="0" w:after="150" w:afterAutospacing="0"/>
        <w:rPr>
          <w:color w:val="333333"/>
        </w:rPr>
      </w:pPr>
      <w:r w:rsidRPr="00AB78ED">
        <w:rPr>
          <w:color w:val="333333"/>
        </w:rPr>
        <w:t>For instances of multiple articles with the same authors and years of publication, please check the APA publication manual or Academic Writer. </w:t>
      </w:r>
    </w:p>
    <w:p w:rsidR="00AB78ED" w:rsidRDefault="00AB78ED" w:rsidP="00AB78ED">
      <w:pPr>
        <w:pStyle w:val="Heading5"/>
        <w:shd w:val="clear" w:color="auto" w:fill="FFFFFF"/>
        <w:spacing w:before="270" w:after="75"/>
        <w:rPr>
          <w:rFonts w:ascii="Arial" w:hAnsi="Arial" w:cs="Arial"/>
          <w:color w:val="333333"/>
          <w:sz w:val="21"/>
          <w:szCs w:val="21"/>
        </w:rPr>
      </w:pPr>
      <w:r>
        <w:rPr>
          <w:rStyle w:val="Strong"/>
          <w:rFonts w:ascii="Arial" w:hAnsi="Arial" w:cs="Arial"/>
          <w:b w:val="0"/>
          <w:bCs w:val="0"/>
          <w:color w:val="333333"/>
          <w:sz w:val="21"/>
          <w:szCs w:val="21"/>
        </w:rPr>
        <w:t>Book</w:t>
      </w:r>
    </w:p>
    <w:p w:rsidR="00AB78ED" w:rsidRDefault="00AB78ED" w:rsidP="00AB78ED">
      <w:pPr>
        <w:numPr>
          <w:ilvl w:val="0"/>
          <w:numId w:val="11"/>
        </w:numPr>
        <w:shd w:val="clear" w:color="auto" w:fill="E6E6E6"/>
        <w:spacing w:before="100" w:beforeAutospacing="1" w:after="75"/>
        <w:rPr>
          <w:rFonts w:ascii="Arial" w:hAnsi="Arial" w:cs="Arial"/>
          <w:color w:val="333333"/>
          <w:sz w:val="21"/>
          <w:szCs w:val="21"/>
        </w:rPr>
      </w:pPr>
      <w:r>
        <w:rPr>
          <w:rFonts w:ascii="Arial" w:hAnsi="Arial" w:cs="Arial"/>
          <w:color w:val="333333"/>
          <w:sz w:val="21"/>
          <w:szCs w:val="21"/>
        </w:rPr>
        <w:t>De Vaus, D. A. (2014). </w:t>
      </w:r>
      <w:r>
        <w:rPr>
          <w:rStyle w:val="Emphasis"/>
          <w:rFonts w:ascii="Arial" w:hAnsi="Arial" w:cs="Arial"/>
          <w:color w:val="333333"/>
          <w:sz w:val="21"/>
          <w:szCs w:val="21"/>
        </w:rPr>
        <w:t>Surveys in social research.</w:t>
      </w:r>
      <w:r>
        <w:rPr>
          <w:rFonts w:ascii="Arial" w:hAnsi="Arial" w:cs="Arial"/>
          <w:color w:val="333333"/>
          <w:sz w:val="21"/>
          <w:szCs w:val="21"/>
        </w:rPr>
        <w:t> Sydney, Australia: Allen &amp; Unwin.</w:t>
      </w:r>
    </w:p>
    <w:p w:rsidR="00AB78ED" w:rsidRDefault="00AB78ED" w:rsidP="00AB78ED">
      <w:pPr>
        <w:pStyle w:val="Heading5"/>
        <w:shd w:val="clear" w:color="auto" w:fill="FFFFFF"/>
        <w:spacing w:before="270" w:after="75"/>
        <w:rPr>
          <w:rFonts w:ascii="Arial" w:hAnsi="Arial" w:cs="Arial"/>
          <w:color w:val="333333"/>
          <w:sz w:val="21"/>
          <w:szCs w:val="21"/>
        </w:rPr>
      </w:pPr>
      <w:r>
        <w:rPr>
          <w:rStyle w:val="Strong"/>
          <w:rFonts w:ascii="Arial" w:hAnsi="Arial" w:cs="Arial"/>
          <w:b w:val="0"/>
          <w:bCs w:val="0"/>
          <w:color w:val="333333"/>
          <w:sz w:val="21"/>
          <w:szCs w:val="21"/>
        </w:rPr>
        <w:t>Book chapter</w:t>
      </w:r>
    </w:p>
    <w:p w:rsidR="00AB78ED" w:rsidRDefault="00AB78ED" w:rsidP="00AB78ED">
      <w:pPr>
        <w:numPr>
          <w:ilvl w:val="0"/>
          <w:numId w:val="12"/>
        </w:numPr>
        <w:shd w:val="clear" w:color="auto" w:fill="E6E6E6"/>
        <w:spacing w:before="100" w:beforeAutospacing="1" w:after="75"/>
        <w:rPr>
          <w:rFonts w:ascii="Arial" w:hAnsi="Arial" w:cs="Arial"/>
          <w:color w:val="333333"/>
          <w:sz w:val="21"/>
          <w:szCs w:val="21"/>
        </w:rPr>
      </w:pPr>
      <w:r>
        <w:rPr>
          <w:rFonts w:ascii="Arial" w:hAnsi="Arial" w:cs="Arial"/>
          <w:color w:val="333333"/>
          <w:sz w:val="21"/>
          <w:szCs w:val="21"/>
        </w:rPr>
        <w:t>McKenzie, H., Boughton, M., Hayes, L., &amp; Forsyth, S. (2008). Explaining the complexities and value of nursing practice and knowledge. In I. Morley &amp; M. Crouch (Eds.), </w:t>
      </w:r>
      <w:r>
        <w:rPr>
          <w:rStyle w:val="Emphasis"/>
          <w:rFonts w:ascii="Arial" w:hAnsi="Arial" w:cs="Arial"/>
          <w:color w:val="333333"/>
          <w:sz w:val="21"/>
          <w:szCs w:val="21"/>
        </w:rPr>
        <w:t>Knowledge as value: Illumination through critical prisms</w:t>
      </w:r>
      <w:r>
        <w:rPr>
          <w:rFonts w:ascii="Arial" w:hAnsi="Arial" w:cs="Arial"/>
          <w:color w:val="333333"/>
          <w:sz w:val="21"/>
          <w:szCs w:val="21"/>
        </w:rPr>
        <w:t> (pp. 209-224). Amsterdam, Netherlands: Rodopi.</w:t>
      </w:r>
    </w:p>
    <w:p w:rsidR="00AB78ED" w:rsidRDefault="00AB78ED" w:rsidP="00AB78ED">
      <w:pPr>
        <w:pStyle w:val="Heading5"/>
        <w:shd w:val="clear" w:color="auto" w:fill="FFFFFF"/>
        <w:spacing w:before="270" w:after="75"/>
        <w:rPr>
          <w:rFonts w:ascii="Arial" w:hAnsi="Arial" w:cs="Arial"/>
          <w:color w:val="333333"/>
          <w:sz w:val="21"/>
          <w:szCs w:val="21"/>
        </w:rPr>
      </w:pPr>
      <w:r>
        <w:rPr>
          <w:rStyle w:val="Strong"/>
          <w:rFonts w:ascii="Arial" w:hAnsi="Arial" w:cs="Arial"/>
          <w:b w:val="0"/>
          <w:bCs w:val="0"/>
          <w:color w:val="333333"/>
          <w:sz w:val="21"/>
          <w:szCs w:val="21"/>
        </w:rPr>
        <w:t>Journal article</w:t>
      </w:r>
    </w:p>
    <w:p w:rsidR="00AB78ED" w:rsidRDefault="00AB78ED" w:rsidP="00AB78ED">
      <w:pPr>
        <w:numPr>
          <w:ilvl w:val="0"/>
          <w:numId w:val="13"/>
        </w:numPr>
        <w:shd w:val="clear" w:color="auto" w:fill="E6E6E6"/>
        <w:spacing w:before="100" w:beforeAutospacing="1" w:after="75"/>
        <w:rPr>
          <w:rFonts w:ascii="Arial" w:hAnsi="Arial" w:cs="Arial"/>
          <w:color w:val="333333"/>
          <w:sz w:val="21"/>
          <w:szCs w:val="21"/>
        </w:rPr>
      </w:pPr>
      <w:r>
        <w:rPr>
          <w:rFonts w:ascii="Arial" w:hAnsi="Arial" w:cs="Arial"/>
          <w:color w:val="333333"/>
          <w:sz w:val="21"/>
          <w:szCs w:val="21"/>
        </w:rPr>
        <w:t>Cheung, J. M. Y., Bartlett, D. J., Armour, C. L., Laba, T. L., &amp; Saini, B. (2018). To drug or not to drug: A qualitative study of patients’ decision-making processes for managing insomnia. </w:t>
      </w:r>
      <w:r>
        <w:rPr>
          <w:rStyle w:val="Emphasis"/>
          <w:rFonts w:ascii="Arial" w:hAnsi="Arial" w:cs="Arial"/>
          <w:color w:val="333333"/>
          <w:sz w:val="21"/>
          <w:szCs w:val="21"/>
        </w:rPr>
        <w:t>Behavioral Sleep Medicine</w:t>
      </w:r>
      <w:r>
        <w:rPr>
          <w:rFonts w:ascii="Arial" w:hAnsi="Arial" w:cs="Arial"/>
          <w:color w:val="333333"/>
          <w:sz w:val="21"/>
          <w:szCs w:val="21"/>
        </w:rPr>
        <w:t>, </w:t>
      </w:r>
      <w:r>
        <w:rPr>
          <w:rStyle w:val="Emphasis"/>
          <w:rFonts w:ascii="Arial" w:hAnsi="Arial" w:cs="Arial"/>
          <w:color w:val="333333"/>
          <w:sz w:val="21"/>
          <w:szCs w:val="21"/>
        </w:rPr>
        <w:t>16</w:t>
      </w:r>
      <w:r>
        <w:rPr>
          <w:rFonts w:ascii="Arial" w:hAnsi="Arial" w:cs="Arial"/>
          <w:color w:val="333333"/>
          <w:sz w:val="21"/>
          <w:szCs w:val="21"/>
        </w:rPr>
        <w:t>(1), 1-26. doi:10.1080/15402002.2016.1163702</w:t>
      </w:r>
    </w:p>
    <w:p w:rsidR="00AB78ED" w:rsidRDefault="00AB78ED" w:rsidP="00AB78ED">
      <w:pPr>
        <w:pStyle w:val="Heading5"/>
        <w:shd w:val="clear" w:color="auto" w:fill="FFFFFF"/>
        <w:spacing w:before="270" w:after="75"/>
        <w:rPr>
          <w:rFonts w:ascii="Arial" w:hAnsi="Arial" w:cs="Arial"/>
          <w:color w:val="333333"/>
          <w:sz w:val="21"/>
          <w:szCs w:val="21"/>
        </w:rPr>
      </w:pPr>
      <w:r>
        <w:rPr>
          <w:rStyle w:val="Strong"/>
          <w:rFonts w:ascii="Arial" w:hAnsi="Arial" w:cs="Arial"/>
          <w:b w:val="0"/>
          <w:bCs w:val="0"/>
          <w:color w:val="333333"/>
          <w:sz w:val="21"/>
          <w:szCs w:val="21"/>
        </w:rPr>
        <w:t>Webpage with an author</w:t>
      </w:r>
    </w:p>
    <w:p w:rsidR="00AB78ED" w:rsidRDefault="00AB78ED" w:rsidP="00AB78ED">
      <w:pPr>
        <w:shd w:val="clear" w:color="auto" w:fill="E6E6E6"/>
        <w:ind w:hanging="480"/>
        <w:rPr>
          <w:rFonts w:ascii="Arial" w:hAnsi="Arial" w:cs="Arial"/>
          <w:color w:val="333333"/>
          <w:sz w:val="21"/>
          <w:szCs w:val="21"/>
        </w:rPr>
      </w:pPr>
      <w:r>
        <w:rPr>
          <w:rFonts w:ascii="Arial" w:hAnsi="Arial" w:cs="Arial"/>
          <w:color w:val="333333"/>
          <w:sz w:val="21"/>
          <w:szCs w:val="21"/>
        </w:rPr>
        <w:t>HealthTimes. (2015).</w:t>
      </w:r>
      <w:r>
        <w:rPr>
          <w:rStyle w:val="Emphasis"/>
          <w:rFonts w:ascii="Arial" w:hAnsi="Arial" w:cs="Arial"/>
          <w:color w:val="333333"/>
          <w:sz w:val="21"/>
          <w:szCs w:val="21"/>
        </w:rPr>
        <w:t> </w:t>
      </w:r>
      <w:r>
        <w:rPr>
          <w:rFonts w:ascii="Arial" w:hAnsi="Arial" w:cs="Arial"/>
          <w:color w:val="333333"/>
          <w:sz w:val="21"/>
          <w:szCs w:val="21"/>
        </w:rPr>
        <w:t>The future of aged care nursing in Australia. Retrieved from https://healthtimes.com.au/hub/aged-care/2/news/nc1/the-future-of-aged-care-nursing-in-australia/495/</w:t>
      </w:r>
    </w:p>
    <w:p w:rsidR="00AB78ED" w:rsidRDefault="00AB78ED" w:rsidP="00AB78ED">
      <w:pPr>
        <w:pStyle w:val="Heading5"/>
        <w:shd w:val="clear" w:color="auto" w:fill="FFFFFF"/>
        <w:spacing w:before="270" w:after="75"/>
        <w:rPr>
          <w:rFonts w:ascii="Arial" w:hAnsi="Arial" w:cs="Arial"/>
          <w:color w:val="333333"/>
          <w:sz w:val="21"/>
          <w:szCs w:val="21"/>
        </w:rPr>
      </w:pPr>
      <w:r>
        <w:rPr>
          <w:rStyle w:val="Strong"/>
          <w:rFonts w:ascii="Arial" w:hAnsi="Arial" w:cs="Arial"/>
          <w:b w:val="0"/>
          <w:bCs w:val="0"/>
          <w:color w:val="333333"/>
          <w:sz w:val="21"/>
          <w:szCs w:val="21"/>
        </w:rPr>
        <w:t>Webpage with no author</w:t>
      </w:r>
    </w:p>
    <w:p w:rsidR="00AB78ED" w:rsidRDefault="00AB78ED" w:rsidP="00AB78ED">
      <w:pPr>
        <w:shd w:val="clear" w:color="auto" w:fill="E6E6E6"/>
        <w:ind w:hanging="480"/>
        <w:rPr>
          <w:rFonts w:ascii="Arial" w:hAnsi="Arial" w:cs="Arial"/>
          <w:color w:val="333333"/>
          <w:sz w:val="21"/>
          <w:szCs w:val="21"/>
        </w:rPr>
      </w:pPr>
      <w:r>
        <w:rPr>
          <w:rFonts w:ascii="Arial" w:hAnsi="Arial" w:cs="Arial"/>
          <w:color w:val="333333"/>
          <w:sz w:val="21"/>
          <w:szCs w:val="21"/>
        </w:rPr>
        <w:t>$250m funding boost for malaria vaccine. (2003). Retrieved from https://www.abc.net.au/news/2003-09-22/250m-funding-boost-for-malaria-vaccine/1482220</w:t>
      </w:r>
    </w:p>
    <w:p w:rsidR="00AB78ED" w:rsidRDefault="00AB78ED" w:rsidP="00AB78ED">
      <w:pPr>
        <w:pStyle w:val="Heading5"/>
        <w:shd w:val="clear" w:color="auto" w:fill="FFFFFF"/>
        <w:spacing w:before="270" w:after="75"/>
        <w:rPr>
          <w:rFonts w:ascii="Arial" w:hAnsi="Arial" w:cs="Arial"/>
          <w:color w:val="333333"/>
          <w:sz w:val="21"/>
          <w:szCs w:val="21"/>
        </w:rPr>
      </w:pPr>
      <w:r>
        <w:rPr>
          <w:rStyle w:val="Strong"/>
          <w:rFonts w:ascii="Arial" w:hAnsi="Arial" w:cs="Arial"/>
          <w:b w:val="0"/>
          <w:bCs w:val="0"/>
          <w:color w:val="333333"/>
          <w:sz w:val="21"/>
          <w:szCs w:val="21"/>
        </w:rPr>
        <w:t>Newspaper article</w:t>
      </w:r>
    </w:p>
    <w:p w:rsidR="00AB78ED" w:rsidRDefault="00AB78ED" w:rsidP="00AB78ED">
      <w:pPr>
        <w:numPr>
          <w:ilvl w:val="0"/>
          <w:numId w:val="14"/>
        </w:numPr>
        <w:shd w:val="clear" w:color="auto" w:fill="E6E6E6"/>
        <w:spacing w:before="100" w:beforeAutospacing="1" w:after="75"/>
        <w:rPr>
          <w:rFonts w:ascii="Arial" w:hAnsi="Arial" w:cs="Arial"/>
          <w:color w:val="333333"/>
          <w:sz w:val="21"/>
          <w:szCs w:val="21"/>
        </w:rPr>
      </w:pPr>
      <w:r>
        <w:rPr>
          <w:rFonts w:ascii="Arial" w:hAnsi="Arial" w:cs="Arial"/>
          <w:color w:val="333333"/>
          <w:sz w:val="21"/>
          <w:szCs w:val="21"/>
        </w:rPr>
        <w:t>Fellner, C. (2019, April 7). Time bomb: Two new cases as NSW faces worst measles outbreak in years. </w:t>
      </w:r>
      <w:r>
        <w:rPr>
          <w:rStyle w:val="Emphasis"/>
          <w:rFonts w:ascii="Arial" w:hAnsi="Arial" w:cs="Arial"/>
          <w:color w:val="333333"/>
          <w:sz w:val="21"/>
          <w:szCs w:val="21"/>
        </w:rPr>
        <w:t>The Sydney Morning Herald</w:t>
      </w:r>
      <w:r>
        <w:rPr>
          <w:rFonts w:ascii="Arial" w:hAnsi="Arial" w:cs="Arial"/>
          <w:color w:val="333333"/>
          <w:sz w:val="21"/>
          <w:szCs w:val="21"/>
        </w:rPr>
        <w:t>. Retrieved from https://www.smh.com.au</w:t>
      </w:r>
    </w:p>
    <w:p w:rsidR="00AB78ED" w:rsidRDefault="00AB78ED" w:rsidP="00AB78ED">
      <w:pPr>
        <w:pStyle w:val="Heading5"/>
        <w:shd w:val="clear" w:color="auto" w:fill="FFFFFF"/>
        <w:spacing w:before="270" w:after="75"/>
        <w:rPr>
          <w:rFonts w:ascii="Arial" w:hAnsi="Arial" w:cs="Arial"/>
          <w:color w:val="333333"/>
          <w:sz w:val="21"/>
          <w:szCs w:val="21"/>
        </w:rPr>
      </w:pPr>
      <w:r>
        <w:rPr>
          <w:rStyle w:val="Strong"/>
          <w:rFonts w:ascii="Arial" w:hAnsi="Arial" w:cs="Arial"/>
          <w:b w:val="0"/>
          <w:bCs w:val="0"/>
          <w:color w:val="333333"/>
          <w:sz w:val="21"/>
          <w:szCs w:val="21"/>
        </w:rPr>
        <w:lastRenderedPageBreak/>
        <w:t>Government publication</w:t>
      </w:r>
    </w:p>
    <w:p w:rsidR="00AB78ED" w:rsidRDefault="00AB78ED" w:rsidP="00AB78ED">
      <w:pPr>
        <w:numPr>
          <w:ilvl w:val="0"/>
          <w:numId w:val="15"/>
        </w:numPr>
        <w:shd w:val="clear" w:color="auto" w:fill="E6E6E6"/>
        <w:spacing w:before="100" w:beforeAutospacing="1" w:after="75"/>
        <w:rPr>
          <w:rFonts w:ascii="Arial" w:hAnsi="Arial" w:cs="Arial"/>
          <w:color w:val="333333"/>
          <w:sz w:val="21"/>
          <w:szCs w:val="21"/>
        </w:rPr>
      </w:pPr>
      <w:r>
        <w:rPr>
          <w:rFonts w:ascii="Arial" w:hAnsi="Arial" w:cs="Arial"/>
          <w:color w:val="333333"/>
          <w:sz w:val="21"/>
          <w:szCs w:val="21"/>
        </w:rPr>
        <w:t>Australian Institute of Health and Welfare. (2018). </w:t>
      </w:r>
      <w:r>
        <w:rPr>
          <w:rStyle w:val="Emphasis"/>
          <w:rFonts w:ascii="Arial" w:hAnsi="Arial" w:cs="Arial"/>
          <w:color w:val="333333"/>
          <w:sz w:val="21"/>
          <w:szCs w:val="21"/>
        </w:rPr>
        <w:t>Physical activity across the life stages</w:t>
      </w:r>
      <w:r>
        <w:rPr>
          <w:rFonts w:ascii="Arial" w:hAnsi="Arial" w:cs="Arial"/>
          <w:color w:val="333333"/>
          <w:sz w:val="21"/>
          <w:szCs w:val="21"/>
        </w:rPr>
        <w:t>. Canberra, Australia: Author.</w:t>
      </w:r>
    </w:p>
    <w:p w:rsidR="00AB78ED" w:rsidRDefault="00AB78ED" w:rsidP="00AB78ED">
      <w:pPr>
        <w:numPr>
          <w:ilvl w:val="0"/>
          <w:numId w:val="15"/>
        </w:numPr>
        <w:shd w:val="clear" w:color="auto" w:fill="E6E6E6"/>
        <w:spacing w:before="100" w:beforeAutospacing="1" w:after="75"/>
        <w:rPr>
          <w:rFonts w:ascii="Arial" w:hAnsi="Arial" w:cs="Arial"/>
          <w:color w:val="333333"/>
          <w:sz w:val="21"/>
          <w:szCs w:val="21"/>
        </w:rPr>
      </w:pPr>
      <w:r>
        <w:rPr>
          <w:rFonts w:ascii="Arial" w:hAnsi="Arial" w:cs="Arial"/>
          <w:color w:val="333333"/>
          <w:sz w:val="21"/>
          <w:szCs w:val="21"/>
        </w:rPr>
        <w:t> </w:t>
      </w:r>
    </w:p>
    <w:p w:rsidR="00AB78ED" w:rsidRDefault="00AB78ED" w:rsidP="00AB78ED">
      <w:pPr>
        <w:numPr>
          <w:ilvl w:val="0"/>
          <w:numId w:val="15"/>
        </w:numPr>
        <w:shd w:val="clear" w:color="auto" w:fill="E6E6E6"/>
        <w:spacing w:before="100" w:beforeAutospacing="1" w:after="75"/>
        <w:rPr>
          <w:rFonts w:ascii="Arial" w:hAnsi="Arial" w:cs="Arial"/>
          <w:color w:val="333333"/>
          <w:sz w:val="21"/>
          <w:szCs w:val="21"/>
        </w:rPr>
      </w:pPr>
      <w:r>
        <w:rPr>
          <w:rFonts w:ascii="Arial" w:hAnsi="Arial" w:cs="Arial"/>
          <w:color w:val="333333"/>
          <w:sz w:val="21"/>
          <w:szCs w:val="21"/>
        </w:rPr>
        <w:t>Australian Institute of Health and Welfare. (2018). </w:t>
      </w:r>
      <w:r>
        <w:rPr>
          <w:rStyle w:val="Emphasis"/>
          <w:rFonts w:ascii="Arial" w:hAnsi="Arial" w:cs="Arial"/>
          <w:color w:val="333333"/>
          <w:sz w:val="21"/>
          <w:szCs w:val="21"/>
        </w:rPr>
        <w:t>Physical activity across the life stages</w:t>
      </w:r>
      <w:r>
        <w:rPr>
          <w:rFonts w:ascii="Arial" w:hAnsi="Arial" w:cs="Arial"/>
          <w:color w:val="333333"/>
          <w:sz w:val="21"/>
          <w:szCs w:val="21"/>
        </w:rPr>
        <w:t>.  Retrieved from https://www.aihw.gov.au/reports/physical-activity/physical-activity-across-the-life-stages/contents/table-of-contents</w:t>
      </w:r>
    </w:p>
    <w:p w:rsidR="00AB78ED" w:rsidRDefault="00AB78ED" w:rsidP="00AB78ED">
      <w:pPr>
        <w:pStyle w:val="Heading5"/>
        <w:shd w:val="clear" w:color="auto" w:fill="FFFFFF"/>
        <w:spacing w:before="270" w:after="75"/>
        <w:rPr>
          <w:rFonts w:ascii="Arial" w:hAnsi="Arial" w:cs="Arial"/>
          <w:color w:val="333333"/>
          <w:sz w:val="21"/>
          <w:szCs w:val="21"/>
        </w:rPr>
      </w:pPr>
      <w:r>
        <w:rPr>
          <w:rStyle w:val="Strong"/>
          <w:rFonts w:ascii="Arial" w:hAnsi="Arial" w:cs="Arial"/>
          <w:b w:val="0"/>
          <w:bCs w:val="0"/>
          <w:color w:val="333333"/>
          <w:sz w:val="21"/>
          <w:szCs w:val="21"/>
        </w:rPr>
        <w:t>Company and Industry Reports</w:t>
      </w:r>
    </w:p>
    <w:p w:rsidR="00AB78ED" w:rsidRDefault="00AB78ED" w:rsidP="00AB78ED">
      <w:pPr>
        <w:numPr>
          <w:ilvl w:val="0"/>
          <w:numId w:val="16"/>
        </w:numPr>
        <w:shd w:val="clear" w:color="auto" w:fill="E6E6E6"/>
        <w:spacing w:before="100" w:beforeAutospacing="1" w:after="75"/>
        <w:rPr>
          <w:rFonts w:ascii="Arial" w:hAnsi="Arial" w:cs="Arial"/>
          <w:color w:val="333333"/>
          <w:sz w:val="21"/>
          <w:szCs w:val="21"/>
        </w:rPr>
      </w:pPr>
      <w:r>
        <w:rPr>
          <w:rFonts w:ascii="Arial" w:hAnsi="Arial" w:cs="Arial"/>
          <w:color w:val="333333"/>
          <w:sz w:val="21"/>
          <w:szCs w:val="21"/>
        </w:rPr>
        <w:t>Vuong, B. (2018, November). </w:t>
      </w:r>
      <w:r>
        <w:rPr>
          <w:rStyle w:val="Emphasis"/>
          <w:rFonts w:ascii="Arial" w:hAnsi="Arial" w:cs="Arial"/>
          <w:color w:val="333333"/>
          <w:sz w:val="21"/>
          <w:szCs w:val="21"/>
        </w:rPr>
        <w:t>IBISWorld industry report OD5381. Coffee shops in Australia</w:t>
      </w:r>
      <w:r>
        <w:rPr>
          <w:rFonts w:ascii="Arial" w:hAnsi="Arial" w:cs="Arial"/>
          <w:color w:val="333333"/>
          <w:sz w:val="21"/>
          <w:szCs w:val="21"/>
        </w:rPr>
        <w:t>. Retrieved from IBISWorld database.</w:t>
      </w:r>
    </w:p>
    <w:p w:rsidR="00AB78ED" w:rsidRDefault="00AB78ED" w:rsidP="00975BD5">
      <w:pPr>
        <w:pStyle w:val="IEEEParagraph"/>
        <w:ind w:left="504" w:firstLine="0"/>
        <w:rPr>
          <w:sz w:val="24"/>
          <w:lang w:val="en-GB"/>
        </w:rPr>
      </w:pPr>
    </w:p>
    <w:p w:rsidR="00AB78ED" w:rsidRPr="006D7DCB" w:rsidRDefault="00AB78ED" w:rsidP="00975BD5">
      <w:pPr>
        <w:pStyle w:val="IEEEParagraph"/>
        <w:ind w:left="504" w:firstLine="0"/>
        <w:rPr>
          <w:sz w:val="24"/>
        </w:rPr>
      </w:pPr>
    </w:p>
    <w:p w:rsidR="00F444A7" w:rsidRDefault="00F444A7" w:rsidP="00975BD5">
      <w:pPr>
        <w:pStyle w:val="Caption"/>
        <w:numPr>
          <w:ilvl w:val="0"/>
          <w:numId w:val="7"/>
        </w:numPr>
        <w:spacing w:before="0" w:after="0"/>
        <w:ind w:left="360"/>
        <w:rPr>
          <w:sz w:val="24"/>
          <w:szCs w:val="24"/>
        </w:rPr>
      </w:pPr>
      <w:r w:rsidRPr="006D7DCB">
        <w:rPr>
          <w:sz w:val="24"/>
          <w:szCs w:val="24"/>
        </w:rPr>
        <w:t>CONCLUSIONS</w:t>
      </w:r>
    </w:p>
    <w:p w:rsidR="00975BD5" w:rsidRPr="00975BD5" w:rsidRDefault="00975BD5" w:rsidP="00975BD5"/>
    <w:p w:rsidR="00F444A7" w:rsidRDefault="00F444A7" w:rsidP="00975BD5">
      <w:pPr>
        <w:pStyle w:val="IEEEParagraph"/>
        <w:ind w:firstLine="0"/>
        <w:rPr>
          <w:sz w:val="24"/>
          <w:lang w:val="en-US"/>
        </w:rPr>
      </w:pPr>
      <w:r w:rsidRPr="006D7DCB">
        <w:rPr>
          <w:sz w:val="24"/>
          <w:lang w:val="en-US"/>
        </w:rPr>
        <w:t>A conclusion section is not required. Although a conclusion may review the main points of the paper, do not replicate the abstract as the conclusion. A conclusion might elaborate on the importance of the work or suggest applications and extensions.</w:t>
      </w:r>
    </w:p>
    <w:p w:rsidR="00AB78ED" w:rsidRDefault="00AB78ED" w:rsidP="00AB78ED">
      <w:pPr>
        <w:pStyle w:val="Caption"/>
        <w:spacing w:before="0" w:after="0"/>
        <w:ind w:left="360"/>
        <w:rPr>
          <w:sz w:val="24"/>
          <w:szCs w:val="24"/>
        </w:rPr>
      </w:pPr>
    </w:p>
    <w:p w:rsidR="00F444A7" w:rsidRDefault="00F444A7" w:rsidP="00975BD5">
      <w:pPr>
        <w:pStyle w:val="Caption"/>
        <w:numPr>
          <w:ilvl w:val="0"/>
          <w:numId w:val="7"/>
        </w:numPr>
        <w:spacing w:before="0" w:after="0"/>
        <w:ind w:left="360"/>
        <w:rPr>
          <w:sz w:val="24"/>
          <w:szCs w:val="24"/>
        </w:rPr>
      </w:pPr>
      <w:r w:rsidRPr="006D7DCB">
        <w:rPr>
          <w:sz w:val="24"/>
          <w:szCs w:val="24"/>
        </w:rPr>
        <w:t>REFERENCES</w:t>
      </w:r>
    </w:p>
    <w:p w:rsidR="00975BD5" w:rsidRPr="00975BD5" w:rsidRDefault="00975BD5" w:rsidP="00975BD5"/>
    <w:p w:rsidR="00F444A7" w:rsidRPr="00975BD5" w:rsidRDefault="00F444A7" w:rsidP="00975BD5">
      <w:pPr>
        <w:pStyle w:val="IEEEReferenceItem"/>
        <w:numPr>
          <w:ilvl w:val="0"/>
          <w:numId w:val="8"/>
        </w:numPr>
        <w:tabs>
          <w:tab w:val="clear" w:pos="432"/>
        </w:tabs>
        <w:ind w:left="540" w:hanging="540"/>
        <w:rPr>
          <w:sz w:val="24"/>
        </w:rPr>
      </w:pPr>
      <w:r w:rsidRPr="00975BD5">
        <w:rPr>
          <w:sz w:val="24"/>
          <w:lang w:val="en-AU"/>
        </w:rPr>
        <w:t xml:space="preserve">S. M. Metev and V. P. Veiko, </w:t>
      </w:r>
      <w:r w:rsidRPr="00975BD5">
        <w:rPr>
          <w:iCs/>
          <w:sz w:val="24"/>
          <w:lang w:val="en-AU"/>
        </w:rPr>
        <w:t>Laser Assisted Microtechnology</w:t>
      </w:r>
      <w:r w:rsidRPr="00975BD5">
        <w:rPr>
          <w:sz w:val="24"/>
          <w:lang w:val="en-AU"/>
        </w:rPr>
        <w:t xml:space="preserve">, 2nd ed., </w:t>
      </w:r>
      <w:r w:rsidRPr="00975BD5">
        <w:rPr>
          <w:sz w:val="24"/>
        </w:rPr>
        <w:t>R. M. Osgood, Jr., Ed.  Berlin, Germany: Springer-Verlag, 1998.</w:t>
      </w:r>
    </w:p>
    <w:p w:rsidR="00F444A7" w:rsidRPr="00975BD5" w:rsidRDefault="00F444A7" w:rsidP="00975BD5">
      <w:pPr>
        <w:pStyle w:val="IEEEReferenceItem"/>
        <w:numPr>
          <w:ilvl w:val="0"/>
          <w:numId w:val="8"/>
        </w:numPr>
        <w:tabs>
          <w:tab w:val="clear" w:pos="432"/>
        </w:tabs>
        <w:ind w:left="540" w:hanging="540"/>
        <w:rPr>
          <w:sz w:val="24"/>
        </w:rPr>
      </w:pPr>
      <w:r w:rsidRPr="00975BD5">
        <w:rPr>
          <w:sz w:val="24"/>
        </w:rPr>
        <w:t xml:space="preserve">J. Breckling, Ed., </w:t>
      </w:r>
      <w:r w:rsidRPr="00975BD5">
        <w:rPr>
          <w:iCs/>
          <w:sz w:val="24"/>
        </w:rPr>
        <w:t>The Analysis of Directional Time Series: Applications to Wind Speed and Direction</w:t>
      </w:r>
      <w:r w:rsidRPr="00975BD5">
        <w:rPr>
          <w:sz w:val="24"/>
        </w:rPr>
        <w:t>, ser. Lecture Notes in Statistics.  Berlin, Germany: Springer, 1989, vol. 61.</w:t>
      </w:r>
    </w:p>
    <w:p w:rsidR="00F444A7" w:rsidRPr="00975BD5" w:rsidRDefault="00F444A7" w:rsidP="00975BD5">
      <w:pPr>
        <w:pStyle w:val="IEEEReferenceItem"/>
        <w:numPr>
          <w:ilvl w:val="0"/>
          <w:numId w:val="8"/>
        </w:numPr>
        <w:tabs>
          <w:tab w:val="clear" w:pos="432"/>
        </w:tabs>
        <w:ind w:left="540" w:hanging="540"/>
        <w:rPr>
          <w:sz w:val="24"/>
        </w:rPr>
      </w:pPr>
      <w:r w:rsidRPr="00975BD5">
        <w:rPr>
          <w:sz w:val="24"/>
        </w:rPr>
        <w:t xml:space="preserve">S. Zhang, C. Zhu, J. K. O. Sin, and P. K. T. Mok, “A novel ultrathin elevated channel low-temperature poly-Si TFT,” </w:t>
      </w:r>
      <w:r w:rsidRPr="00975BD5">
        <w:rPr>
          <w:iCs/>
          <w:sz w:val="24"/>
        </w:rPr>
        <w:t>IEEE Electron Device Lett.</w:t>
      </w:r>
      <w:r w:rsidRPr="00975BD5">
        <w:rPr>
          <w:sz w:val="24"/>
        </w:rPr>
        <w:t>, vol. 20, pp. 569–571, Nov. 1999.</w:t>
      </w:r>
    </w:p>
    <w:p w:rsidR="00F444A7" w:rsidRPr="00975BD5" w:rsidRDefault="00F444A7" w:rsidP="00975BD5">
      <w:pPr>
        <w:pStyle w:val="IEEEReferenceItem"/>
        <w:numPr>
          <w:ilvl w:val="0"/>
          <w:numId w:val="8"/>
        </w:numPr>
        <w:tabs>
          <w:tab w:val="clear" w:pos="432"/>
        </w:tabs>
        <w:ind w:left="540" w:hanging="540"/>
        <w:rPr>
          <w:sz w:val="24"/>
        </w:rPr>
      </w:pPr>
      <w:r w:rsidRPr="00975BD5">
        <w:rPr>
          <w:sz w:val="24"/>
        </w:rPr>
        <w:t xml:space="preserve">M. Wegmuller, J. P. von der Weid, P. Oberson, and N. Gisin, “High resolution fiber distributed measurements with coherent OFDR,” in </w:t>
      </w:r>
      <w:r w:rsidRPr="00975BD5">
        <w:rPr>
          <w:iCs/>
          <w:sz w:val="24"/>
        </w:rPr>
        <w:t>Proc. ECOC’00</w:t>
      </w:r>
      <w:r w:rsidRPr="00975BD5">
        <w:rPr>
          <w:sz w:val="24"/>
        </w:rPr>
        <w:t>, 2000, paper 11.3.4, p. 109.</w:t>
      </w:r>
    </w:p>
    <w:p w:rsidR="00F444A7" w:rsidRPr="00975BD5" w:rsidRDefault="00F444A7" w:rsidP="00975BD5">
      <w:pPr>
        <w:pStyle w:val="IEEEReferenceItem"/>
        <w:numPr>
          <w:ilvl w:val="0"/>
          <w:numId w:val="8"/>
        </w:numPr>
        <w:tabs>
          <w:tab w:val="clear" w:pos="432"/>
        </w:tabs>
        <w:ind w:left="540" w:hanging="540"/>
        <w:rPr>
          <w:sz w:val="24"/>
          <w:lang w:val="en-AU"/>
        </w:rPr>
      </w:pPr>
      <w:r w:rsidRPr="00975BD5">
        <w:rPr>
          <w:sz w:val="24"/>
        </w:rPr>
        <w:t xml:space="preserve">R. E. Sorace, V. S. Reinhardt, and S. A. Vaughn, “High-speed digital-to-RF converter,” </w:t>
      </w:r>
      <w:r w:rsidRPr="00975BD5">
        <w:rPr>
          <w:sz w:val="24"/>
          <w:lang w:val="en-AU"/>
        </w:rPr>
        <w:t>U.S. Patent 5 668 842, Sept. 16, 1997.</w:t>
      </w:r>
    </w:p>
    <w:p w:rsidR="00F444A7" w:rsidRPr="00975BD5" w:rsidRDefault="00F444A7" w:rsidP="00975BD5">
      <w:pPr>
        <w:pStyle w:val="IEEEReferenceItem"/>
        <w:numPr>
          <w:ilvl w:val="0"/>
          <w:numId w:val="8"/>
        </w:numPr>
        <w:tabs>
          <w:tab w:val="clear" w:pos="432"/>
        </w:tabs>
        <w:ind w:left="540" w:hanging="540"/>
        <w:rPr>
          <w:sz w:val="24"/>
          <w:lang w:val="en-AU"/>
        </w:rPr>
      </w:pPr>
      <w:r w:rsidRPr="00975BD5">
        <w:rPr>
          <w:sz w:val="24"/>
          <w:lang w:val="en-AU"/>
        </w:rPr>
        <w:t>(2002) The IEEE website. [Online]. Available: http://www.ieee.org</w:t>
      </w:r>
      <w:r w:rsidRPr="00975BD5">
        <w:rPr>
          <w:sz w:val="24"/>
        </w:rPr>
        <w:t>/</w:t>
      </w:r>
    </w:p>
    <w:p w:rsidR="00F444A7" w:rsidRPr="00975BD5" w:rsidRDefault="00F444A7" w:rsidP="00975BD5">
      <w:pPr>
        <w:pStyle w:val="IEEEReferenceItem"/>
        <w:numPr>
          <w:ilvl w:val="0"/>
          <w:numId w:val="8"/>
        </w:numPr>
        <w:tabs>
          <w:tab w:val="clear" w:pos="432"/>
        </w:tabs>
        <w:ind w:left="540" w:hanging="540"/>
        <w:rPr>
          <w:sz w:val="24"/>
          <w:lang w:val="en-AU"/>
        </w:rPr>
      </w:pPr>
      <w:r w:rsidRPr="00975BD5">
        <w:rPr>
          <w:sz w:val="24"/>
          <w:lang w:val="en-AU"/>
        </w:rPr>
        <w:t xml:space="preserve">M. Shell. (2002) IEEEtran homepage on CTAN. </w:t>
      </w:r>
      <w:r w:rsidRPr="00975BD5">
        <w:rPr>
          <w:sz w:val="24"/>
        </w:rPr>
        <w:t>[Online]. Available: http://www.ctan.org/tex-archive/</w:t>
      </w:r>
      <w:r w:rsidRPr="00975BD5">
        <w:rPr>
          <w:sz w:val="24"/>
          <w:lang w:val="en-AU"/>
        </w:rPr>
        <w:t>macros/latex/contrib/supported/IEEEtran/</w:t>
      </w:r>
    </w:p>
    <w:p w:rsidR="00F444A7" w:rsidRPr="00975BD5" w:rsidRDefault="00F444A7" w:rsidP="00975BD5">
      <w:pPr>
        <w:pStyle w:val="IEEEReferenceItem"/>
        <w:numPr>
          <w:ilvl w:val="0"/>
          <w:numId w:val="8"/>
        </w:numPr>
        <w:tabs>
          <w:tab w:val="clear" w:pos="432"/>
        </w:tabs>
        <w:ind w:left="540" w:hanging="540"/>
        <w:rPr>
          <w:sz w:val="24"/>
          <w:lang w:val="en-AU"/>
        </w:rPr>
      </w:pPr>
      <w:r w:rsidRPr="00975BD5">
        <w:rPr>
          <w:iCs/>
          <w:sz w:val="24"/>
          <w:lang w:val="en-AU"/>
        </w:rPr>
        <w:t>FLEXChip Signal Processor (MC68175/D)</w:t>
      </w:r>
      <w:r w:rsidRPr="00975BD5">
        <w:rPr>
          <w:sz w:val="24"/>
          <w:lang w:val="en-AU"/>
        </w:rPr>
        <w:t>, Motorola, 1996.</w:t>
      </w:r>
    </w:p>
    <w:p w:rsidR="00F444A7" w:rsidRPr="00975BD5" w:rsidRDefault="00F444A7" w:rsidP="00975BD5">
      <w:pPr>
        <w:pStyle w:val="IEEEReferenceItem"/>
        <w:numPr>
          <w:ilvl w:val="0"/>
          <w:numId w:val="8"/>
        </w:numPr>
        <w:tabs>
          <w:tab w:val="clear" w:pos="432"/>
        </w:tabs>
        <w:ind w:left="540" w:hanging="540"/>
        <w:rPr>
          <w:sz w:val="24"/>
          <w:lang w:val="en-AU"/>
        </w:rPr>
      </w:pPr>
      <w:r w:rsidRPr="00975BD5">
        <w:rPr>
          <w:sz w:val="24"/>
          <w:lang w:val="en-AU"/>
        </w:rPr>
        <w:t>“PDCA12-70 data sheet,” Opto Speed SA, Mezzovico, Switzerland.</w:t>
      </w:r>
    </w:p>
    <w:p w:rsidR="00F444A7" w:rsidRPr="00975BD5" w:rsidRDefault="00F444A7" w:rsidP="00975BD5">
      <w:pPr>
        <w:pStyle w:val="IEEEReferenceItem"/>
        <w:numPr>
          <w:ilvl w:val="0"/>
          <w:numId w:val="8"/>
        </w:numPr>
        <w:tabs>
          <w:tab w:val="clear" w:pos="432"/>
        </w:tabs>
        <w:ind w:left="540" w:hanging="540"/>
        <w:rPr>
          <w:sz w:val="24"/>
        </w:rPr>
      </w:pPr>
      <w:r w:rsidRPr="00975BD5">
        <w:rPr>
          <w:sz w:val="24"/>
        </w:rPr>
        <w:t xml:space="preserve">A. Karnik, “Performance of TCP congestion control with rate feedback: </w:t>
      </w:r>
      <w:r w:rsidRPr="00975BD5">
        <w:rPr>
          <w:sz w:val="24"/>
          <w:lang w:val="en-AU"/>
        </w:rPr>
        <w:t xml:space="preserve">TCP/ABR and rate adaptive TCP/IP,” M. Eng. thesis, Indian Institute of </w:t>
      </w:r>
      <w:r w:rsidRPr="00975BD5">
        <w:rPr>
          <w:sz w:val="24"/>
        </w:rPr>
        <w:t>Science, Bangalore, India, Jan. 1999.</w:t>
      </w:r>
    </w:p>
    <w:p w:rsidR="00F444A7" w:rsidRPr="00975BD5" w:rsidRDefault="00F444A7" w:rsidP="00975BD5">
      <w:pPr>
        <w:pStyle w:val="IEEEReferenceItem"/>
        <w:numPr>
          <w:ilvl w:val="0"/>
          <w:numId w:val="8"/>
        </w:numPr>
        <w:tabs>
          <w:tab w:val="clear" w:pos="432"/>
        </w:tabs>
        <w:ind w:left="540" w:hanging="540"/>
        <w:rPr>
          <w:sz w:val="24"/>
        </w:rPr>
      </w:pPr>
      <w:r w:rsidRPr="00975BD5">
        <w:rPr>
          <w:sz w:val="24"/>
        </w:rPr>
        <w:t xml:space="preserve">J. Padhye, V. Firoiu, and D. Towsley, “A stochastic model of TCP Reno </w:t>
      </w:r>
      <w:r w:rsidRPr="00975BD5">
        <w:rPr>
          <w:sz w:val="24"/>
          <w:lang w:val="en-AU"/>
        </w:rPr>
        <w:t xml:space="preserve">congestion avoidance and control,” Univ. of Massachusetts, Amherst, </w:t>
      </w:r>
      <w:r w:rsidRPr="00975BD5">
        <w:rPr>
          <w:sz w:val="24"/>
        </w:rPr>
        <w:t>MA, CMPSCI Tech. Rep. 99-02, 1999.</w:t>
      </w:r>
    </w:p>
    <w:p w:rsidR="00F444A7" w:rsidRPr="00975BD5" w:rsidRDefault="00F444A7" w:rsidP="00975BD5">
      <w:pPr>
        <w:pStyle w:val="IEEEReferenceItem"/>
        <w:numPr>
          <w:ilvl w:val="0"/>
          <w:numId w:val="8"/>
        </w:numPr>
        <w:tabs>
          <w:tab w:val="clear" w:pos="432"/>
        </w:tabs>
        <w:ind w:left="540" w:hanging="540"/>
        <w:rPr>
          <w:sz w:val="24"/>
        </w:rPr>
      </w:pPr>
      <w:r w:rsidRPr="00975BD5">
        <w:rPr>
          <w:iCs/>
          <w:sz w:val="24"/>
        </w:rPr>
        <w:t>Wireless LAN Medium Access Control (MAC) and Physical Layer (PHY) Specification</w:t>
      </w:r>
      <w:r w:rsidRPr="00975BD5">
        <w:rPr>
          <w:sz w:val="24"/>
          <w:lang w:val="en-AU"/>
        </w:rPr>
        <w:t xml:space="preserve">, </w:t>
      </w:r>
      <w:r w:rsidRPr="00975BD5">
        <w:rPr>
          <w:sz w:val="24"/>
        </w:rPr>
        <w:t>IEEE Std. 802.11, 1997.</w:t>
      </w:r>
    </w:p>
    <w:p w:rsidR="00C14A6A" w:rsidRPr="00975BD5" w:rsidRDefault="00C14A6A" w:rsidP="00975BD5">
      <w:pPr>
        <w:ind w:left="540" w:hanging="540"/>
      </w:pPr>
    </w:p>
    <w:sectPr w:rsidR="00C14A6A" w:rsidRPr="00975BD5" w:rsidSect="00C14A6A">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4450" w:rsidRDefault="00184450" w:rsidP="00C14A6A">
      <w:r>
        <w:separator/>
      </w:r>
    </w:p>
  </w:endnote>
  <w:endnote w:type="continuationSeparator" w:id="0">
    <w:p w:rsidR="00184450" w:rsidRDefault="00184450" w:rsidP="00C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252525"/>
      <w:docPartObj>
        <w:docPartGallery w:val="Page Numbers (Bottom of Page)"/>
        <w:docPartUnique/>
      </w:docPartObj>
    </w:sdtPr>
    <w:sdtEndPr>
      <w:rPr>
        <w:noProof/>
      </w:rPr>
    </w:sdtEndPr>
    <w:sdtContent>
      <w:p w:rsidR="00C14A6A" w:rsidRDefault="007003DE">
        <w:pPr>
          <w:pStyle w:val="Footer"/>
          <w:jc w:val="right"/>
        </w:pPr>
        <w:r>
          <w:fldChar w:fldCharType="begin"/>
        </w:r>
        <w:r w:rsidR="00C14A6A">
          <w:instrText xml:space="preserve"> PAGE   \* MERGEFORMAT </w:instrText>
        </w:r>
        <w:r>
          <w:fldChar w:fldCharType="separate"/>
        </w:r>
        <w:r w:rsidR="00C14A6A">
          <w:rPr>
            <w:noProof/>
          </w:rPr>
          <w:t>1</w:t>
        </w:r>
        <w:r>
          <w:rPr>
            <w:noProof/>
          </w:rPr>
          <w:fldChar w:fldCharType="end"/>
        </w:r>
      </w:p>
    </w:sdtContent>
  </w:sdt>
  <w:p w:rsidR="00C14A6A" w:rsidRDefault="00C14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4450" w:rsidRDefault="00184450" w:rsidP="00C14A6A">
      <w:r>
        <w:separator/>
      </w:r>
    </w:p>
  </w:footnote>
  <w:footnote w:type="continuationSeparator" w:id="0">
    <w:p w:rsidR="00184450" w:rsidRDefault="00184450" w:rsidP="00C14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A6A" w:rsidRDefault="00C14A6A" w:rsidP="00C14A6A">
    <w:pPr>
      <w:pStyle w:val="Header"/>
    </w:pPr>
    <w:r>
      <w:t xml:space="preserve">Journal of Contemporary Issues in Business and Government Vol. 26, No. 1, 2020 </w:t>
    </w:r>
    <w:hyperlink r:id="rId1" w:history="1">
      <w:r w:rsidRPr="00A2571A">
        <w:rPr>
          <w:rStyle w:val="Hyperlink"/>
        </w:rPr>
        <w:t>https://cibg.org.au/</w:t>
      </w:r>
    </w:hyperlink>
  </w:p>
  <w:p w:rsidR="00C14A6A" w:rsidRDefault="00C14A6A" w:rsidP="00C14A6A">
    <w:pPr>
      <w:pStyle w:val="Header"/>
    </w:pPr>
    <w:r>
      <w:t>P-ISSN: 2204-1990; E-ISSN: 1323-6903</w:t>
    </w:r>
  </w:p>
  <w:p w:rsidR="00C14A6A" w:rsidRDefault="00C14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041"/>
    <w:multiLevelType w:val="hybridMultilevel"/>
    <w:tmpl w:val="CBCA9780"/>
    <w:lvl w:ilvl="0" w:tplc="84C877A0">
      <w:numFmt w:val="bullet"/>
      <w:lvlText w:val=""/>
      <w:lvlJc w:val="left"/>
      <w:pPr>
        <w:ind w:left="3144" w:hanging="98"/>
      </w:pPr>
      <w:rPr>
        <w:rFonts w:ascii="Symbol" w:eastAsia="Symbol" w:hAnsi="Symbol" w:cs="Symbol" w:hint="default"/>
        <w:w w:val="99"/>
        <w:sz w:val="14"/>
        <w:szCs w:val="14"/>
        <w:lang w:val="en-US" w:eastAsia="en-US" w:bidi="ar-SA"/>
      </w:rPr>
    </w:lvl>
    <w:lvl w:ilvl="1" w:tplc="D5DE39DC">
      <w:numFmt w:val="bullet"/>
      <w:lvlText w:val="•"/>
      <w:lvlJc w:val="left"/>
      <w:pPr>
        <w:ind w:left="3560" w:hanging="98"/>
      </w:pPr>
      <w:rPr>
        <w:rFonts w:hint="default"/>
        <w:lang w:val="en-US" w:eastAsia="en-US" w:bidi="ar-SA"/>
      </w:rPr>
    </w:lvl>
    <w:lvl w:ilvl="2" w:tplc="1F3A3728">
      <w:numFmt w:val="bullet"/>
      <w:lvlText w:val="•"/>
      <w:lvlJc w:val="left"/>
      <w:pPr>
        <w:ind w:left="3801" w:hanging="98"/>
      </w:pPr>
      <w:rPr>
        <w:rFonts w:hint="default"/>
        <w:lang w:val="en-US" w:eastAsia="en-US" w:bidi="ar-SA"/>
      </w:rPr>
    </w:lvl>
    <w:lvl w:ilvl="3" w:tplc="59E4D724">
      <w:numFmt w:val="bullet"/>
      <w:lvlText w:val="•"/>
      <w:lvlJc w:val="left"/>
      <w:pPr>
        <w:ind w:left="4042" w:hanging="98"/>
      </w:pPr>
      <w:rPr>
        <w:rFonts w:hint="default"/>
        <w:lang w:val="en-US" w:eastAsia="en-US" w:bidi="ar-SA"/>
      </w:rPr>
    </w:lvl>
    <w:lvl w:ilvl="4" w:tplc="25F485C8">
      <w:numFmt w:val="bullet"/>
      <w:lvlText w:val="•"/>
      <w:lvlJc w:val="left"/>
      <w:pPr>
        <w:ind w:left="4284" w:hanging="98"/>
      </w:pPr>
      <w:rPr>
        <w:rFonts w:hint="default"/>
        <w:lang w:val="en-US" w:eastAsia="en-US" w:bidi="ar-SA"/>
      </w:rPr>
    </w:lvl>
    <w:lvl w:ilvl="5" w:tplc="E2EABA7A">
      <w:numFmt w:val="bullet"/>
      <w:lvlText w:val="•"/>
      <w:lvlJc w:val="left"/>
      <w:pPr>
        <w:ind w:left="4525" w:hanging="98"/>
      </w:pPr>
      <w:rPr>
        <w:rFonts w:hint="default"/>
        <w:lang w:val="en-US" w:eastAsia="en-US" w:bidi="ar-SA"/>
      </w:rPr>
    </w:lvl>
    <w:lvl w:ilvl="6" w:tplc="8E9C5BE0">
      <w:numFmt w:val="bullet"/>
      <w:lvlText w:val="•"/>
      <w:lvlJc w:val="left"/>
      <w:pPr>
        <w:ind w:left="4767" w:hanging="98"/>
      </w:pPr>
      <w:rPr>
        <w:rFonts w:hint="default"/>
        <w:lang w:val="en-US" w:eastAsia="en-US" w:bidi="ar-SA"/>
      </w:rPr>
    </w:lvl>
    <w:lvl w:ilvl="7" w:tplc="386E576E">
      <w:numFmt w:val="bullet"/>
      <w:lvlText w:val="•"/>
      <w:lvlJc w:val="left"/>
      <w:pPr>
        <w:ind w:left="5008" w:hanging="98"/>
      </w:pPr>
      <w:rPr>
        <w:rFonts w:hint="default"/>
        <w:lang w:val="en-US" w:eastAsia="en-US" w:bidi="ar-SA"/>
      </w:rPr>
    </w:lvl>
    <w:lvl w:ilvl="8" w:tplc="A0EADF8A">
      <w:numFmt w:val="bullet"/>
      <w:lvlText w:val="•"/>
      <w:lvlJc w:val="left"/>
      <w:pPr>
        <w:ind w:left="5249" w:hanging="98"/>
      </w:pPr>
      <w:rPr>
        <w:rFonts w:hint="default"/>
        <w:lang w:val="en-US" w:eastAsia="en-US" w:bidi="ar-SA"/>
      </w:rPr>
    </w:lvl>
  </w:abstractNum>
  <w:abstractNum w:abstractNumId="1" w15:restartNumberingAfterBreak="0">
    <w:nsid w:val="0AE4097D"/>
    <w:multiLevelType w:val="multilevel"/>
    <w:tmpl w:val="5D1A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11FFF"/>
    <w:multiLevelType w:val="multilevel"/>
    <w:tmpl w:val="827AF99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235D63CF"/>
    <w:multiLevelType w:val="multilevel"/>
    <w:tmpl w:val="9322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328273D7"/>
    <w:multiLevelType w:val="multilevel"/>
    <w:tmpl w:val="9C8E938C"/>
    <w:numStyleLink w:val="IEEEBullet1"/>
  </w:abstractNum>
  <w:abstractNum w:abstractNumId="6" w15:restartNumberingAfterBreak="0">
    <w:nsid w:val="343757DE"/>
    <w:multiLevelType w:val="multilevel"/>
    <w:tmpl w:val="4570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87441"/>
    <w:multiLevelType w:val="multilevel"/>
    <w:tmpl w:val="4014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E1C4BF3"/>
    <w:multiLevelType w:val="multilevel"/>
    <w:tmpl w:val="DD62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232215"/>
    <w:multiLevelType w:val="multilevel"/>
    <w:tmpl w:val="9A52B476"/>
    <w:lvl w:ilvl="0">
      <w:start w:val="1"/>
      <w:numFmt w:val="upperLetter"/>
      <w:pStyle w:val="IEEEHeading2"/>
      <w:lvlText w:val="%1."/>
      <w:lvlJc w:val="left"/>
      <w:rPr>
        <w:rFonts w:ascii="Times New Roman" w:eastAsia="Arial Unicode MS" w:hAnsi="Times New Roman" w:cs="Times New Roman" w:hint="default"/>
        <w:b w:val="0"/>
        <w:bCs/>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BA926F0"/>
    <w:multiLevelType w:val="hybridMultilevel"/>
    <w:tmpl w:val="DBF869B6"/>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2" w15:restartNumberingAfterBreak="0">
    <w:nsid w:val="64514CDD"/>
    <w:multiLevelType w:val="hybridMultilevel"/>
    <w:tmpl w:val="A6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15:restartNumberingAfterBreak="0">
    <w:nsid w:val="6B5E3F01"/>
    <w:multiLevelType w:val="multilevel"/>
    <w:tmpl w:val="B546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134942">
    <w:abstractNumId w:val="10"/>
  </w:num>
  <w:num w:numId="2" w16cid:durableId="297226913">
    <w:abstractNumId w:val="13"/>
  </w:num>
  <w:num w:numId="3" w16cid:durableId="20651370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727710">
    <w:abstractNumId w:val="8"/>
  </w:num>
  <w:num w:numId="5" w16cid:durableId="1429037037">
    <w:abstractNumId w:val="5"/>
  </w:num>
  <w:num w:numId="6" w16cid:durableId="923992161">
    <w:abstractNumId w:val="4"/>
  </w:num>
  <w:num w:numId="7" w16cid:durableId="1728609075">
    <w:abstractNumId w:val="12"/>
  </w:num>
  <w:num w:numId="8" w16cid:durableId="221410802">
    <w:abstractNumId w:val="2"/>
  </w:num>
  <w:num w:numId="9" w16cid:durableId="515072334">
    <w:abstractNumId w:val="0"/>
  </w:num>
  <w:num w:numId="10" w16cid:durableId="1946038146">
    <w:abstractNumId w:val="11"/>
  </w:num>
  <w:num w:numId="11" w16cid:durableId="1063676868">
    <w:abstractNumId w:val="3"/>
  </w:num>
  <w:num w:numId="12" w16cid:durableId="2081438147">
    <w:abstractNumId w:val="14"/>
  </w:num>
  <w:num w:numId="13" w16cid:durableId="791940610">
    <w:abstractNumId w:val="7"/>
  </w:num>
  <w:num w:numId="14" w16cid:durableId="511578558">
    <w:abstractNumId w:val="1"/>
  </w:num>
  <w:num w:numId="15" w16cid:durableId="1600872004">
    <w:abstractNumId w:val="6"/>
  </w:num>
  <w:num w:numId="16" w16cid:durableId="3023217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6A"/>
    <w:rsid w:val="00036A81"/>
    <w:rsid w:val="00090CCB"/>
    <w:rsid w:val="000F0FF7"/>
    <w:rsid w:val="00147D08"/>
    <w:rsid w:val="00184450"/>
    <w:rsid w:val="00193323"/>
    <w:rsid w:val="0019694D"/>
    <w:rsid w:val="001A5EA7"/>
    <w:rsid w:val="001A7286"/>
    <w:rsid w:val="001D69C4"/>
    <w:rsid w:val="00224BAB"/>
    <w:rsid w:val="002D725B"/>
    <w:rsid w:val="002E2DF3"/>
    <w:rsid w:val="00323576"/>
    <w:rsid w:val="003523B1"/>
    <w:rsid w:val="0036788D"/>
    <w:rsid w:val="00431A01"/>
    <w:rsid w:val="0047170F"/>
    <w:rsid w:val="0049107C"/>
    <w:rsid w:val="00540C09"/>
    <w:rsid w:val="00570D25"/>
    <w:rsid w:val="00585505"/>
    <w:rsid w:val="005A4603"/>
    <w:rsid w:val="00695C97"/>
    <w:rsid w:val="007003DE"/>
    <w:rsid w:val="0078546F"/>
    <w:rsid w:val="008459DD"/>
    <w:rsid w:val="008509F6"/>
    <w:rsid w:val="008A39E6"/>
    <w:rsid w:val="008B5CBF"/>
    <w:rsid w:val="008C0524"/>
    <w:rsid w:val="008D39C6"/>
    <w:rsid w:val="00937C41"/>
    <w:rsid w:val="00975BD5"/>
    <w:rsid w:val="00987B0A"/>
    <w:rsid w:val="00A007DB"/>
    <w:rsid w:val="00A30012"/>
    <w:rsid w:val="00A37B63"/>
    <w:rsid w:val="00AB78ED"/>
    <w:rsid w:val="00B2267B"/>
    <w:rsid w:val="00BD136F"/>
    <w:rsid w:val="00BD3501"/>
    <w:rsid w:val="00BE1EB6"/>
    <w:rsid w:val="00BE2DBE"/>
    <w:rsid w:val="00C10498"/>
    <w:rsid w:val="00C14A6A"/>
    <w:rsid w:val="00C26610"/>
    <w:rsid w:val="00C30E04"/>
    <w:rsid w:val="00CA3A53"/>
    <w:rsid w:val="00CF26A1"/>
    <w:rsid w:val="00D41900"/>
    <w:rsid w:val="00D81849"/>
    <w:rsid w:val="00D82789"/>
    <w:rsid w:val="00D9190F"/>
    <w:rsid w:val="00DB39CD"/>
    <w:rsid w:val="00DC4617"/>
    <w:rsid w:val="00E00A3A"/>
    <w:rsid w:val="00E02D4E"/>
    <w:rsid w:val="00E23AB8"/>
    <w:rsid w:val="00EB7250"/>
    <w:rsid w:val="00EF0F49"/>
    <w:rsid w:val="00F40B72"/>
    <w:rsid w:val="00F444A7"/>
    <w:rsid w:val="00F93B86"/>
    <w:rsid w:val="00FA33EB"/>
    <w:rsid w:val="00FC56D6"/>
    <w:rsid w:val="00FE0E5E"/>
    <w:rsid w:val="00FE2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5EDA7"/>
  <w15:docId w15:val="{85412B80-DADA-45BE-BF3A-CC9097E1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1">
    <w:name w:val="heading 1"/>
    <w:basedOn w:val="Normal"/>
    <w:next w:val="Normal"/>
    <w:link w:val="Heading1Char"/>
    <w:uiPriority w:val="9"/>
    <w:qFormat/>
    <w:rsid w:val="002D72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AB78E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 w:type="character" w:styleId="Strong">
    <w:name w:val="Strong"/>
    <w:basedOn w:val="DefaultParagraphFont"/>
    <w:uiPriority w:val="22"/>
    <w:qFormat/>
    <w:rsid w:val="00E00A3A"/>
    <w:rPr>
      <w:b/>
      <w:bCs/>
    </w:rPr>
  </w:style>
  <w:style w:type="character" w:customStyle="1" w:styleId="Heading1Char">
    <w:name w:val="Heading 1 Char"/>
    <w:basedOn w:val="DefaultParagraphFont"/>
    <w:link w:val="Heading1"/>
    <w:uiPriority w:val="9"/>
    <w:rsid w:val="002D725B"/>
    <w:rPr>
      <w:rFonts w:asciiTheme="majorHAnsi" w:eastAsiaTheme="majorEastAsia" w:hAnsiTheme="majorHAnsi" w:cstheme="majorBidi"/>
      <w:color w:val="365F91" w:themeColor="accent1" w:themeShade="BF"/>
      <w:sz w:val="32"/>
      <w:szCs w:val="32"/>
      <w:lang w:val="en-AU" w:eastAsia="zh-CN"/>
    </w:rPr>
  </w:style>
  <w:style w:type="paragraph" w:styleId="BodyText">
    <w:name w:val="Body Text"/>
    <w:basedOn w:val="Normal"/>
    <w:link w:val="BodyTextChar"/>
    <w:uiPriority w:val="1"/>
    <w:qFormat/>
    <w:rsid w:val="002D725B"/>
    <w:pPr>
      <w:widowControl w:val="0"/>
      <w:autoSpaceDE w:val="0"/>
      <w:autoSpaceDN w:val="0"/>
    </w:pPr>
    <w:rPr>
      <w:rFonts w:eastAsia="Times New Roman"/>
      <w:sz w:val="19"/>
      <w:szCs w:val="19"/>
      <w:lang w:val="en-US" w:eastAsia="en-US"/>
    </w:rPr>
  </w:style>
  <w:style w:type="character" w:customStyle="1" w:styleId="BodyTextChar">
    <w:name w:val="Body Text Char"/>
    <w:basedOn w:val="DefaultParagraphFont"/>
    <w:link w:val="BodyText"/>
    <w:uiPriority w:val="1"/>
    <w:rsid w:val="002D725B"/>
    <w:rPr>
      <w:rFonts w:ascii="Times New Roman" w:eastAsia="Times New Roman" w:hAnsi="Times New Roman" w:cs="Times New Roman"/>
      <w:sz w:val="19"/>
      <w:szCs w:val="19"/>
    </w:rPr>
  </w:style>
  <w:style w:type="paragraph" w:customStyle="1" w:styleId="TableParagraph">
    <w:name w:val="Table Paragraph"/>
    <w:basedOn w:val="Normal"/>
    <w:uiPriority w:val="1"/>
    <w:qFormat/>
    <w:rsid w:val="002D725B"/>
    <w:pPr>
      <w:widowControl w:val="0"/>
      <w:autoSpaceDE w:val="0"/>
      <w:autoSpaceDN w:val="0"/>
      <w:spacing w:line="193" w:lineRule="exact"/>
      <w:ind w:left="36"/>
    </w:pPr>
    <w:rPr>
      <w:rFonts w:eastAsia="Times New Roman"/>
      <w:sz w:val="22"/>
      <w:szCs w:val="22"/>
      <w:lang w:val="en-US" w:eastAsia="en-US"/>
    </w:rPr>
  </w:style>
  <w:style w:type="paragraph" w:customStyle="1" w:styleId="citation">
    <w:name w:val="citation"/>
    <w:basedOn w:val="Normal"/>
    <w:rsid w:val="00AB78ED"/>
    <w:pPr>
      <w:spacing w:before="100" w:beforeAutospacing="1" w:after="100" w:afterAutospacing="1"/>
    </w:pPr>
    <w:rPr>
      <w:rFonts w:eastAsia="Times New Roman"/>
      <w:lang w:val="en-US" w:eastAsia="en-US"/>
    </w:rPr>
  </w:style>
  <w:style w:type="character" w:styleId="Emphasis">
    <w:name w:val="Emphasis"/>
    <w:basedOn w:val="DefaultParagraphFont"/>
    <w:uiPriority w:val="20"/>
    <w:qFormat/>
    <w:rsid w:val="00AB78ED"/>
    <w:rPr>
      <w:i/>
      <w:iCs/>
    </w:rPr>
  </w:style>
  <w:style w:type="paragraph" w:styleId="NormalWeb">
    <w:name w:val="Normal (Web)"/>
    <w:basedOn w:val="Normal"/>
    <w:uiPriority w:val="99"/>
    <w:semiHidden/>
    <w:unhideWhenUsed/>
    <w:rsid w:val="00AB78ED"/>
    <w:pPr>
      <w:spacing w:before="100" w:beforeAutospacing="1" w:after="100" w:afterAutospacing="1"/>
    </w:pPr>
    <w:rPr>
      <w:rFonts w:eastAsia="Times New Roman"/>
      <w:lang w:val="en-US" w:eastAsia="en-US"/>
    </w:rPr>
  </w:style>
  <w:style w:type="character" w:customStyle="1" w:styleId="Heading5Char">
    <w:name w:val="Heading 5 Char"/>
    <w:basedOn w:val="DefaultParagraphFont"/>
    <w:link w:val="Heading5"/>
    <w:uiPriority w:val="9"/>
    <w:semiHidden/>
    <w:rsid w:val="00AB78ED"/>
    <w:rPr>
      <w:rFonts w:asciiTheme="majorHAnsi" w:eastAsiaTheme="majorEastAsia" w:hAnsiTheme="majorHAnsi" w:cstheme="majorBidi"/>
      <w:color w:val="365F91" w:themeColor="accent1" w:themeShade="BF"/>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758">
      <w:bodyDiv w:val="1"/>
      <w:marLeft w:val="0"/>
      <w:marRight w:val="0"/>
      <w:marTop w:val="0"/>
      <w:marBottom w:val="0"/>
      <w:divBdr>
        <w:top w:val="none" w:sz="0" w:space="0" w:color="auto"/>
        <w:left w:val="none" w:sz="0" w:space="0" w:color="auto"/>
        <w:bottom w:val="none" w:sz="0" w:space="0" w:color="auto"/>
        <w:right w:val="none" w:sz="0" w:space="0" w:color="auto"/>
      </w:divBdr>
    </w:div>
    <w:div w:id="82460223">
      <w:bodyDiv w:val="1"/>
      <w:marLeft w:val="0"/>
      <w:marRight w:val="0"/>
      <w:marTop w:val="0"/>
      <w:marBottom w:val="0"/>
      <w:divBdr>
        <w:top w:val="none" w:sz="0" w:space="0" w:color="auto"/>
        <w:left w:val="none" w:sz="0" w:space="0" w:color="auto"/>
        <w:bottom w:val="none" w:sz="0" w:space="0" w:color="auto"/>
        <w:right w:val="none" w:sz="0" w:space="0" w:color="auto"/>
      </w:divBdr>
    </w:div>
    <w:div w:id="185027835">
      <w:bodyDiv w:val="1"/>
      <w:marLeft w:val="0"/>
      <w:marRight w:val="0"/>
      <w:marTop w:val="0"/>
      <w:marBottom w:val="0"/>
      <w:divBdr>
        <w:top w:val="none" w:sz="0" w:space="0" w:color="auto"/>
        <w:left w:val="none" w:sz="0" w:space="0" w:color="auto"/>
        <w:bottom w:val="none" w:sz="0" w:space="0" w:color="auto"/>
        <w:right w:val="none" w:sz="0" w:space="0" w:color="auto"/>
      </w:divBdr>
    </w:div>
    <w:div w:id="334384824">
      <w:bodyDiv w:val="1"/>
      <w:marLeft w:val="0"/>
      <w:marRight w:val="0"/>
      <w:marTop w:val="0"/>
      <w:marBottom w:val="0"/>
      <w:divBdr>
        <w:top w:val="none" w:sz="0" w:space="0" w:color="auto"/>
        <w:left w:val="none" w:sz="0" w:space="0" w:color="auto"/>
        <w:bottom w:val="none" w:sz="0" w:space="0" w:color="auto"/>
        <w:right w:val="none" w:sz="0" w:space="0" w:color="auto"/>
      </w:divBdr>
    </w:div>
    <w:div w:id="745610907">
      <w:bodyDiv w:val="1"/>
      <w:marLeft w:val="0"/>
      <w:marRight w:val="0"/>
      <w:marTop w:val="0"/>
      <w:marBottom w:val="0"/>
      <w:divBdr>
        <w:top w:val="none" w:sz="0" w:space="0" w:color="auto"/>
        <w:left w:val="none" w:sz="0" w:space="0" w:color="auto"/>
        <w:bottom w:val="none" w:sz="0" w:space="0" w:color="auto"/>
        <w:right w:val="none" w:sz="0" w:space="0" w:color="auto"/>
      </w:divBdr>
    </w:div>
    <w:div w:id="807430623">
      <w:bodyDiv w:val="1"/>
      <w:marLeft w:val="0"/>
      <w:marRight w:val="0"/>
      <w:marTop w:val="0"/>
      <w:marBottom w:val="0"/>
      <w:divBdr>
        <w:top w:val="none" w:sz="0" w:space="0" w:color="auto"/>
        <w:left w:val="none" w:sz="0" w:space="0" w:color="auto"/>
        <w:bottom w:val="none" w:sz="0" w:space="0" w:color="auto"/>
        <w:right w:val="none" w:sz="0" w:space="0" w:color="auto"/>
      </w:divBdr>
    </w:div>
    <w:div w:id="852649674">
      <w:bodyDiv w:val="1"/>
      <w:marLeft w:val="0"/>
      <w:marRight w:val="0"/>
      <w:marTop w:val="0"/>
      <w:marBottom w:val="0"/>
      <w:divBdr>
        <w:top w:val="none" w:sz="0" w:space="0" w:color="auto"/>
        <w:left w:val="none" w:sz="0" w:space="0" w:color="auto"/>
        <w:bottom w:val="none" w:sz="0" w:space="0" w:color="auto"/>
        <w:right w:val="none" w:sz="0" w:space="0" w:color="auto"/>
      </w:divBdr>
    </w:div>
    <w:div w:id="915742767">
      <w:bodyDiv w:val="1"/>
      <w:marLeft w:val="0"/>
      <w:marRight w:val="0"/>
      <w:marTop w:val="0"/>
      <w:marBottom w:val="0"/>
      <w:divBdr>
        <w:top w:val="none" w:sz="0" w:space="0" w:color="auto"/>
        <w:left w:val="none" w:sz="0" w:space="0" w:color="auto"/>
        <w:bottom w:val="none" w:sz="0" w:space="0" w:color="auto"/>
        <w:right w:val="none" w:sz="0" w:space="0" w:color="auto"/>
      </w:divBdr>
    </w:div>
    <w:div w:id="1018896381">
      <w:bodyDiv w:val="1"/>
      <w:marLeft w:val="0"/>
      <w:marRight w:val="0"/>
      <w:marTop w:val="0"/>
      <w:marBottom w:val="0"/>
      <w:divBdr>
        <w:top w:val="none" w:sz="0" w:space="0" w:color="auto"/>
        <w:left w:val="none" w:sz="0" w:space="0" w:color="auto"/>
        <w:bottom w:val="none" w:sz="0" w:space="0" w:color="auto"/>
        <w:right w:val="none" w:sz="0" w:space="0" w:color="auto"/>
      </w:divBdr>
      <w:divsChild>
        <w:div w:id="897278719">
          <w:marLeft w:val="150"/>
          <w:marRight w:val="150"/>
          <w:marTop w:val="150"/>
          <w:marBottom w:val="150"/>
          <w:divBdr>
            <w:top w:val="none" w:sz="0" w:space="0" w:color="auto"/>
            <w:left w:val="none" w:sz="0" w:space="0" w:color="auto"/>
            <w:bottom w:val="none" w:sz="0" w:space="0" w:color="auto"/>
            <w:right w:val="none" w:sz="0" w:space="0" w:color="auto"/>
          </w:divBdr>
        </w:div>
        <w:div w:id="1702512900">
          <w:marLeft w:val="150"/>
          <w:marRight w:val="150"/>
          <w:marTop w:val="150"/>
          <w:marBottom w:val="150"/>
          <w:divBdr>
            <w:top w:val="none" w:sz="0" w:space="0" w:color="auto"/>
            <w:left w:val="none" w:sz="0" w:space="0" w:color="auto"/>
            <w:bottom w:val="none" w:sz="0" w:space="0" w:color="auto"/>
            <w:right w:val="none" w:sz="0" w:space="0" w:color="auto"/>
          </w:divBdr>
        </w:div>
        <w:div w:id="26951720">
          <w:marLeft w:val="150"/>
          <w:marRight w:val="150"/>
          <w:marTop w:val="150"/>
          <w:marBottom w:val="150"/>
          <w:divBdr>
            <w:top w:val="none" w:sz="0" w:space="0" w:color="auto"/>
            <w:left w:val="none" w:sz="0" w:space="0" w:color="auto"/>
            <w:bottom w:val="none" w:sz="0" w:space="0" w:color="auto"/>
            <w:right w:val="none" w:sz="0" w:space="0" w:color="auto"/>
          </w:divBdr>
        </w:div>
        <w:div w:id="1696224056">
          <w:marLeft w:val="150"/>
          <w:marRight w:val="150"/>
          <w:marTop w:val="150"/>
          <w:marBottom w:val="150"/>
          <w:divBdr>
            <w:top w:val="none" w:sz="0" w:space="0" w:color="auto"/>
            <w:left w:val="none" w:sz="0" w:space="0" w:color="auto"/>
            <w:bottom w:val="none" w:sz="0" w:space="0" w:color="auto"/>
            <w:right w:val="none" w:sz="0" w:space="0" w:color="auto"/>
          </w:divBdr>
        </w:div>
        <w:div w:id="518784848">
          <w:marLeft w:val="150"/>
          <w:marRight w:val="150"/>
          <w:marTop w:val="150"/>
          <w:marBottom w:val="150"/>
          <w:divBdr>
            <w:top w:val="none" w:sz="0" w:space="0" w:color="auto"/>
            <w:left w:val="none" w:sz="0" w:space="0" w:color="auto"/>
            <w:bottom w:val="none" w:sz="0" w:space="0" w:color="auto"/>
            <w:right w:val="none" w:sz="0" w:space="0" w:color="auto"/>
          </w:divBdr>
        </w:div>
        <w:div w:id="893538741">
          <w:marLeft w:val="150"/>
          <w:marRight w:val="150"/>
          <w:marTop w:val="150"/>
          <w:marBottom w:val="150"/>
          <w:divBdr>
            <w:top w:val="none" w:sz="0" w:space="0" w:color="auto"/>
            <w:left w:val="none" w:sz="0" w:space="0" w:color="auto"/>
            <w:bottom w:val="none" w:sz="0" w:space="0" w:color="auto"/>
            <w:right w:val="none" w:sz="0" w:space="0" w:color="auto"/>
          </w:divBdr>
        </w:div>
        <w:div w:id="1032343046">
          <w:marLeft w:val="150"/>
          <w:marRight w:val="150"/>
          <w:marTop w:val="150"/>
          <w:marBottom w:val="150"/>
          <w:divBdr>
            <w:top w:val="none" w:sz="0" w:space="0" w:color="auto"/>
            <w:left w:val="none" w:sz="0" w:space="0" w:color="auto"/>
            <w:bottom w:val="none" w:sz="0" w:space="0" w:color="auto"/>
            <w:right w:val="none" w:sz="0" w:space="0" w:color="auto"/>
          </w:divBdr>
        </w:div>
        <w:div w:id="521167363">
          <w:marLeft w:val="150"/>
          <w:marRight w:val="150"/>
          <w:marTop w:val="150"/>
          <w:marBottom w:val="150"/>
          <w:divBdr>
            <w:top w:val="none" w:sz="0" w:space="0" w:color="auto"/>
            <w:left w:val="none" w:sz="0" w:space="0" w:color="auto"/>
            <w:bottom w:val="none" w:sz="0" w:space="0" w:color="auto"/>
            <w:right w:val="none" w:sz="0" w:space="0" w:color="auto"/>
          </w:divBdr>
        </w:div>
      </w:divsChild>
    </w:div>
    <w:div w:id="1149133733">
      <w:bodyDiv w:val="1"/>
      <w:marLeft w:val="0"/>
      <w:marRight w:val="0"/>
      <w:marTop w:val="0"/>
      <w:marBottom w:val="0"/>
      <w:divBdr>
        <w:top w:val="none" w:sz="0" w:space="0" w:color="auto"/>
        <w:left w:val="none" w:sz="0" w:space="0" w:color="auto"/>
        <w:bottom w:val="none" w:sz="0" w:space="0" w:color="auto"/>
        <w:right w:val="none" w:sz="0" w:space="0" w:color="auto"/>
      </w:divBdr>
      <w:divsChild>
        <w:div w:id="581261852">
          <w:marLeft w:val="0"/>
          <w:marRight w:val="0"/>
          <w:marTop w:val="0"/>
          <w:marBottom w:val="0"/>
          <w:divBdr>
            <w:top w:val="none" w:sz="0" w:space="0" w:color="auto"/>
            <w:left w:val="none" w:sz="0" w:space="0" w:color="auto"/>
            <w:bottom w:val="none" w:sz="0" w:space="0" w:color="auto"/>
            <w:right w:val="none" w:sz="0" w:space="0" w:color="auto"/>
          </w:divBdr>
        </w:div>
        <w:div w:id="202254357">
          <w:marLeft w:val="0"/>
          <w:marRight w:val="0"/>
          <w:marTop w:val="0"/>
          <w:marBottom w:val="0"/>
          <w:divBdr>
            <w:top w:val="none" w:sz="0" w:space="0" w:color="auto"/>
            <w:left w:val="none" w:sz="0" w:space="0" w:color="auto"/>
            <w:bottom w:val="none" w:sz="0" w:space="0" w:color="auto"/>
            <w:right w:val="none" w:sz="0" w:space="0" w:color="auto"/>
          </w:divBdr>
        </w:div>
      </w:divsChild>
    </w:div>
    <w:div w:id="1245384124">
      <w:bodyDiv w:val="1"/>
      <w:marLeft w:val="0"/>
      <w:marRight w:val="0"/>
      <w:marTop w:val="0"/>
      <w:marBottom w:val="0"/>
      <w:divBdr>
        <w:top w:val="none" w:sz="0" w:space="0" w:color="auto"/>
        <w:left w:val="none" w:sz="0" w:space="0" w:color="auto"/>
        <w:bottom w:val="none" w:sz="0" w:space="0" w:color="auto"/>
        <w:right w:val="none" w:sz="0" w:space="0" w:color="auto"/>
      </w:divBdr>
    </w:div>
    <w:div w:id="1456757817">
      <w:bodyDiv w:val="1"/>
      <w:marLeft w:val="0"/>
      <w:marRight w:val="0"/>
      <w:marTop w:val="0"/>
      <w:marBottom w:val="0"/>
      <w:divBdr>
        <w:top w:val="none" w:sz="0" w:space="0" w:color="auto"/>
        <w:left w:val="none" w:sz="0" w:space="0" w:color="auto"/>
        <w:bottom w:val="none" w:sz="0" w:space="0" w:color="auto"/>
        <w:right w:val="none" w:sz="0" w:space="0" w:color="auto"/>
      </w:divBdr>
    </w:div>
    <w:div w:id="1476415632">
      <w:bodyDiv w:val="1"/>
      <w:marLeft w:val="0"/>
      <w:marRight w:val="0"/>
      <w:marTop w:val="0"/>
      <w:marBottom w:val="0"/>
      <w:divBdr>
        <w:top w:val="none" w:sz="0" w:space="0" w:color="auto"/>
        <w:left w:val="none" w:sz="0" w:space="0" w:color="auto"/>
        <w:bottom w:val="none" w:sz="0" w:space="0" w:color="auto"/>
        <w:right w:val="none" w:sz="0" w:space="0" w:color="auto"/>
      </w:divBdr>
    </w:div>
    <w:div w:id="1588343870">
      <w:bodyDiv w:val="1"/>
      <w:marLeft w:val="0"/>
      <w:marRight w:val="0"/>
      <w:marTop w:val="0"/>
      <w:marBottom w:val="0"/>
      <w:divBdr>
        <w:top w:val="none" w:sz="0" w:space="0" w:color="auto"/>
        <w:left w:val="none" w:sz="0" w:space="0" w:color="auto"/>
        <w:bottom w:val="none" w:sz="0" w:space="0" w:color="auto"/>
        <w:right w:val="none" w:sz="0" w:space="0" w:color="auto"/>
      </w:divBdr>
    </w:div>
    <w:div w:id="1639994008">
      <w:bodyDiv w:val="1"/>
      <w:marLeft w:val="0"/>
      <w:marRight w:val="0"/>
      <w:marTop w:val="0"/>
      <w:marBottom w:val="0"/>
      <w:divBdr>
        <w:top w:val="none" w:sz="0" w:space="0" w:color="auto"/>
        <w:left w:val="none" w:sz="0" w:space="0" w:color="auto"/>
        <w:bottom w:val="none" w:sz="0" w:space="0" w:color="auto"/>
        <w:right w:val="none" w:sz="0" w:space="0" w:color="auto"/>
      </w:divBdr>
    </w:div>
    <w:div w:id="1920287010">
      <w:bodyDiv w:val="1"/>
      <w:marLeft w:val="0"/>
      <w:marRight w:val="0"/>
      <w:marTop w:val="0"/>
      <w:marBottom w:val="0"/>
      <w:divBdr>
        <w:top w:val="none" w:sz="0" w:space="0" w:color="auto"/>
        <w:left w:val="none" w:sz="0" w:space="0" w:color="auto"/>
        <w:bottom w:val="none" w:sz="0" w:space="0" w:color="auto"/>
        <w:right w:val="none" w:sz="0" w:space="0" w:color="auto"/>
      </w:divBdr>
    </w:div>
    <w:div w:id="19715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third.author@first-third.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first.author@first-third.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www.wto.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cibg.org.a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5"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 Fig Title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Sheet1!$G$4</c:f>
              <c:strCache>
                <c:ptCount val="1"/>
                <c:pt idx="0">
                  <c:v>Sales</c:v>
                </c:pt>
              </c:strCache>
            </c:strRef>
          </c:tx>
          <c:spPr>
            <a:solidFill>
              <a:schemeClr val="accent1"/>
            </a:solidFill>
            <a:ln>
              <a:noFill/>
            </a:ln>
            <a:effectLst/>
          </c:spPr>
          <c:invertIfNegative val="0"/>
          <c:cat>
            <c:strRef>
              <c:f>Sheet1!$F$5:$F$10</c:f>
              <c:strCache>
                <c:ptCount val="6"/>
                <c:pt idx="0">
                  <c:v>Jan</c:v>
                </c:pt>
                <c:pt idx="1">
                  <c:v>Feb</c:v>
                </c:pt>
                <c:pt idx="2">
                  <c:v>Mar</c:v>
                </c:pt>
                <c:pt idx="3">
                  <c:v>Apr</c:v>
                </c:pt>
                <c:pt idx="4">
                  <c:v>May</c:v>
                </c:pt>
                <c:pt idx="5">
                  <c:v>Jun</c:v>
                </c:pt>
              </c:strCache>
            </c:strRef>
          </c:cat>
          <c:val>
            <c:numRef>
              <c:f>Sheet1!$G$5:$G$10</c:f>
              <c:numCache>
                <c:formatCode>General</c:formatCode>
                <c:ptCount val="6"/>
                <c:pt idx="0">
                  <c:v>3454</c:v>
                </c:pt>
                <c:pt idx="1">
                  <c:v>1130</c:v>
                </c:pt>
                <c:pt idx="2">
                  <c:v>2465</c:v>
                </c:pt>
                <c:pt idx="3">
                  <c:v>541</c:v>
                </c:pt>
                <c:pt idx="4">
                  <c:v>1882</c:v>
                </c:pt>
                <c:pt idx="5">
                  <c:v>3419</c:v>
                </c:pt>
              </c:numCache>
            </c:numRef>
          </c:val>
          <c:extLst>
            <c:ext xmlns:c16="http://schemas.microsoft.com/office/drawing/2014/chart" uri="{C3380CC4-5D6E-409C-BE32-E72D297353CC}">
              <c16:uniqueId val="{00000000-24A0-4CE6-8072-57E0F93B2DF8}"/>
            </c:ext>
          </c:extLst>
        </c:ser>
        <c:dLbls>
          <c:showLegendKey val="0"/>
          <c:showVal val="0"/>
          <c:showCatName val="0"/>
          <c:showSerName val="0"/>
          <c:showPercent val="0"/>
          <c:showBubbleSize val="0"/>
        </c:dLbls>
        <c:gapWidth val="150"/>
        <c:axId val="1745958128"/>
        <c:axId val="1745962288"/>
      </c:barChart>
      <c:catAx>
        <c:axId val="1745958128"/>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5962288"/>
        <c:crosses val="autoZero"/>
        <c:auto val="1"/>
        <c:lblAlgn val="ctr"/>
        <c:lblOffset val="100"/>
        <c:noMultiLvlLbl val="0"/>
      </c:catAx>
      <c:valAx>
        <c:axId val="1745962288"/>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59581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Bhargav Revankar</cp:lastModifiedBy>
  <cp:revision>2</cp:revision>
  <dcterms:created xsi:type="dcterms:W3CDTF">2022-11-03T04:52:00Z</dcterms:created>
  <dcterms:modified xsi:type="dcterms:W3CDTF">2022-11-03T04:52:00Z</dcterms:modified>
</cp:coreProperties>
</file>